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41" w:rsidRPr="00606B0A" w:rsidRDefault="00A45F50" w:rsidP="00C52041">
      <w:pPr>
        <w:widowControl w:val="0"/>
        <w:spacing w:line="240" w:lineRule="auto"/>
        <w:jc w:val="center"/>
        <w:rPr>
          <w:rFonts w:eastAsia="楷体_GB2312"/>
          <w:b/>
          <w:sz w:val="36"/>
          <w:szCs w:val="36"/>
        </w:rPr>
      </w:pPr>
      <w:r w:rsidRPr="00606B0A">
        <w:rPr>
          <w:rFonts w:ascii="宋体" w:hAnsi="宋体" w:cs="宋体"/>
          <w:noProof/>
          <w:kern w:val="0"/>
          <w:sz w:val="24"/>
          <w:szCs w:val="28"/>
        </w:rPr>
        <w:drawing>
          <wp:inline distT="0" distB="0" distL="0" distR="0">
            <wp:extent cx="5783580" cy="1501140"/>
            <wp:effectExtent l="0" t="0" r="7620" b="3810"/>
            <wp:docPr id="1" name="图片 1" descr="C:\Users\user\AppData\Roaming\Tencent\Users\22356772\QQ\WinTemp\RichOle\~~JOX31RXU@F8J4@[WTL[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Roaming\Tencent\Users\22356772\QQ\WinTemp\RichOle\~~JOX31RXU@F8J4@[WTL[DW.png"/>
                    <pic:cNvPicPr>
                      <a:picLocks noChangeAspect="1" noChangeArrowheads="1"/>
                    </pic:cNvPicPr>
                  </pic:nvPicPr>
                  <pic:blipFill>
                    <a:blip r:embed="rId8" cstate="print">
                      <a:extLst>
                        <a:ext uri="{28A0092B-C50C-407E-A947-70E740481C1C}">
                          <a14:useLocalDpi xmlns:a14="http://schemas.microsoft.com/office/drawing/2010/main" val="0"/>
                        </a:ext>
                      </a:extLst>
                    </a:blip>
                    <a:srcRect l="1508"/>
                    <a:stretch>
                      <a:fillRect/>
                    </a:stretch>
                  </pic:blipFill>
                  <pic:spPr bwMode="auto">
                    <a:xfrm>
                      <a:off x="0" y="0"/>
                      <a:ext cx="5783580" cy="1501140"/>
                    </a:xfrm>
                    <a:prstGeom prst="rect">
                      <a:avLst/>
                    </a:prstGeom>
                    <a:noFill/>
                    <a:ln>
                      <a:noFill/>
                    </a:ln>
                  </pic:spPr>
                </pic:pic>
              </a:graphicData>
            </a:graphic>
          </wp:inline>
        </w:drawing>
      </w:r>
      <w:r w:rsidR="00C52041" w:rsidRPr="00606B0A">
        <w:rPr>
          <w:rFonts w:eastAsia="楷体_GB2312" w:hint="eastAsia"/>
          <w:b/>
          <w:sz w:val="36"/>
          <w:szCs w:val="36"/>
        </w:rPr>
        <w:t>201</w:t>
      </w:r>
      <w:r w:rsidR="00C52041" w:rsidRPr="00606B0A">
        <w:rPr>
          <w:rFonts w:eastAsia="楷体_GB2312"/>
          <w:b/>
          <w:sz w:val="36"/>
          <w:szCs w:val="36"/>
        </w:rPr>
        <w:t>7</w:t>
      </w:r>
      <w:r w:rsidR="00C52041" w:rsidRPr="00606B0A">
        <w:rPr>
          <w:rFonts w:eastAsia="楷体_GB2312" w:hint="eastAsia"/>
          <w:b/>
          <w:sz w:val="36"/>
          <w:szCs w:val="36"/>
        </w:rPr>
        <w:t>年第</w:t>
      </w:r>
      <w:r w:rsidR="009523DB" w:rsidRPr="00606B0A">
        <w:rPr>
          <w:rFonts w:eastAsia="楷体_GB2312"/>
          <w:b/>
          <w:sz w:val="36"/>
          <w:szCs w:val="36"/>
        </w:rPr>
        <w:t>4</w:t>
      </w:r>
      <w:r w:rsidR="00C52041" w:rsidRPr="00606B0A">
        <w:rPr>
          <w:rFonts w:eastAsia="楷体_GB2312" w:hint="eastAsia"/>
          <w:b/>
          <w:sz w:val="36"/>
          <w:szCs w:val="36"/>
        </w:rPr>
        <w:t>期（总第</w:t>
      </w:r>
      <w:r w:rsidR="00966A36" w:rsidRPr="00606B0A">
        <w:rPr>
          <w:rFonts w:eastAsia="楷体_GB2312"/>
          <w:b/>
          <w:sz w:val="36"/>
          <w:szCs w:val="36"/>
        </w:rPr>
        <w:t>4</w:t>
      </w:r>
      <w:r w:rsidR="009523DB" w:rsidRPr="00606B0A">
        <w:rPr>
          <w:rFonts w:eastAsia="楷体_GB2312"/>
          <w:b/>
          <w:sz w:val="36"/>
          <w:szCs w:val="36"/>
        </w:rPr>
        <w:t>2</w:t>
      </w:r>
      <w:r w:rsidR="00C52041" w:rsidRPr="00606B0A">
        <w:rPr>
          <w:rFonts w:eastAsia="楷体_GB2312" w:hint="eastAsia"/>
          <w:b/>
          <w:sz w:val="36"/>
          <w:szCs w:val="36"/>
        </w:rPr>
        <w:t>期）</w:t>
      </w:r>
    </w:p>
    <w:p w:rsidR="00C52041" w:rsidRPr="00606B0A" w:rsidRDefault="00B071C6" w:rsidP="00C52041">
      <w:pPr>
        <w:widowControl w:val="0"/>
        <w:spacing w:before="120" w:line="240" w:lineRule="auto"/>
        <w:ind w:firstLineChars="50" w:firstLine="140"/>
        <w:rPr>
          <w:rFonts w:eastAsia="楷体_GB2312"/>
          <w:b/>
          <w:color w:val="FF0000"/>
          <w:sz w:val="32"/>
          <w:szCs w:val="32"/>
        </w:rPr>
      </w:pPr>
      <w:r>
        <w:rPr>
          <w:noProof/>
          <w:color w:val="FF0000"/>
          <w:szCs w:val="28"/>
        </w:rPr>
        <w:pict>
          <v:line id="直接连接符 1" o:spid="_x0000_s1026" style="position:absolute;left:0;text-align:left;z-index:251659264;visibility:visible;mso-wrap-distance-top:-6e-5mm;mso-wrap-distance-bottom:-6e-5mm" from="-14pt,35.65pt" to="434.7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" strokecolor="red" strokeweight="3pt"/>
        </w:pict>
      </w:r>
      <w:r w:rsidR="00C52041" w:rsidRPr="00606B0A">
        <w:rPr>
          <w:rFonts w:eastAsia="楷体_GB2312" w:hint="eastAsia"/>
          <w:b/>
          <w:color w:val="FF0000"/>
          <w:sz w:val="32"/>
          <w:szCs w:val="32"/>
        </w:rPr>
        <w:t>安徽师范大学发展规划处编</w:t>
      </w:r>
      <w:r w:rsidR="004D167A" w:rsidRPr="00606B0A">
        <w:rPr>
          <w:rFonts w:eastAsia="楷体_GB2312" w:hint="eastAsia"/>
          <w:b/>
          <w:color w:val="FF0000"/>
          <w:sz w:val="32"/>
          <w:szCs w:val="32"/>
        </w:rPr>
        <w:t xml:space="preserve">           </w:t>
      </w:r>
      <w:r w:rsidR="00C52041" w:rsidRPr="00606B0A">
        <w:rPr>
          <w:rFonts w:eastAsia="楷体_GB2312" w:hint="eastAsia"/>
          <w:b/>
          <w:sz w:val="32"/>
          <w:szCs w:val="32"/>
        </w:rPr>
        <w:t>201</w:t>
      </w:r>
      <w:r w:rsidR="00C52041" w:rsidRPr="00606B0A">
        <w:rPr>
          <w:rFonts w:eastAsia="楷体_GB2312"/>
          <w:b/>
          <w:sz w:val="32"/>
          <w:szCs w:val="32"/>
        </w:rPr>
        <w:t>7</w:t>
      </w:r>
      <w:r w:rsidR="00C52041" w:rsidRPr="00606B0A">
        <w:rPr>
          <w:rFonts w:eastAsia="楷体_GB2312" w:hint="eastAsia"/>
          <w:b/>
          <w:sz w:val="32"/>
          <w:szCs w:val="32"/>
        </w:rPr>
        <w:t>年</w:t>
      </w:r>
      <w:r w:rsidR="009523DB" w:rsidRPr="00606B0A">
        <w:rPr>
          <w:rFonts w:eastAsia="楷体_GB2312"/>
          <w:b/>
          <w:sz w:val="32"/>
          <w:szCs w:val="32"/>
        </w:rPr>
        <w:t>9</w:t>
      </w:r>
      <w:r w:rsidR="00C52041" w:rsidRPr="00606B0A">
        <w:rPr>
          <w:rFonts w:eastAsia="楷体_GB2312" w:hint="eastAsia"/>
          <w:b/>
          <w:sz w:val="32"/>
          <w:szCs w:val="32"/>
        </w:rPr>
        <w:t>月</w:t>
      </w:r>
      <w:r w:rsidR="00CB175B">
        <w:rPr>
          <w:rFonts w:eastAsia="楷体_GB2312" w:hint="eastAsia"/>
          <w:b/>
          <w:sz w:val="32"/>
          <w:szCs w:val="32"/>
        </w:rPr>
        <w:t>8</w:t>
      </w:r>
      <w:r w:rsidR="00C52041" w:rsidRPr="00606B0A">
        <w:rPr>
          <w:rFonts w:eastAsia="楷体_GB2312" w:hint="eastAsia"/>
          <w:b/>
          <w:sz w:val="32"/>
          <w:szCs w:val="32"/>
        </w:rPr>
        <w:t>日</w:t>
      </w:r>
    </w:p>
    <w:p w:rsidR="00EF0F0E" w:rsidRPr="00606B0A" w:rsidRDefault="00EF0F0E" w:rsidP="009262FA">
      <w:pPr>
        <w:widowControl w:val="0"/>
        <w:tabs>
          <w:tab w:val="left" w:pos="7491"/>
        </w:tabs>
        <w:spacing w:beforeLines="50" w:before="190" w:afterLines="50" w:after="190" w:line="400" w:lineRule="exact"/>
        <w:outlineLvl w:val="0"/>
        <w:rPr>
          <w:rFonts w:ascii="黑体" w:eastAsia="黑体" w:hAnsi="黑体"/>
          <w:color w:val="FF0000"/>
          <w:sz w:val="36"/>
          <w:szCs w:val="36"/>
        </w:rPr>
      </w:pPr>
      <w:r w:rsidRPr="00606B0A">
        <w:rPr>
          <w:rFonts w:ascii="黑体" w:eastAsia="黑体" w:hAnsi="黑体" w:hint="eastAsia"/>
          <w:color w:val="FF0000"/>
          <w:sz w:val="36"/>
          <w:szCs w:val="36"/>
        </w:rPr>
        <w:t>【新闻资讯】</w:t>
      </w:r>
    </w:p>
    <w:p w:rsidR="009A29C9" w:rsidRPr="00606B0A" w:rsidRDefault="009A29C9" w:rsidP="00832F46">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 全国教师教育振兴暨教师队伍建设工作会议召开</w:t>
      </w:r>
    </w:p>
    <w:p w:rsidR="00043277" w:rsidRPr="00606B0A" w:rsidRDefault="00043277" w:rsidP="00832F46">
      <w:pPr>
        <w:spacing w:line="380" w:lineRule="exact"/>
        <w:ind w:firstLineChars="200" w:firstLine="480"/>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bCs/>
          <w:color w:val="auto"/>
          <w:sz w:val="24"/>
          <w:szCs w:val="24"/>
        </w:rPr>
        <w:t>8月25日，全国教师教育振兴暨教师队伍建设工作会议在吉林长春召开。会议提出</w:t>
      </w:r>
      <w:r w:rsidRPr="00606B0A">
        <w:rPr>
          <w:rStyle w:val="a5"/>
          <w:rFonts w:ascii="仿宋_GB2312" w:eastAsia="仿宋_GB2312" w:hAnsi="仿宋" w:cs="Times New Roman" w:hint="eastAsia"/>
          <w:bCs/>
          <w:color w:val="auto"/>
          <w:sz w:val="24"/>
          <w:szCs w:val="24"/>
        </w:rPr>
        <w:t>振兴教师教育要从源头上加强教师队伍建设，</w:t>
      </w:r>
      <w:r w:rsidRPr="00606B0A">
        <w:rPr>
          <w:rStyle w:val="a5"/>
          <w:rFonts w:ascii="仿宋_GB2312" w:eastAsia="仿宋_GB2312" w:hAnsi="仿宋" w:cs="Times New Roman"/>
          <w:bCs/>
          <w:color w:val="auto"/>
          <w:sz w:val="24"/>
          <w:szCs w:val="24"/>
        </w:rPr>
        <w:t>努力开创教师教育振兴发展的新局面。</w:t>
      </w:r>
    </w:p>
    <w:p w:rsidR="00043277" w:rsidRPr="00606B0A" w:rsidRDefault="00043277" w:rsidP="00832F46">
      <w:pPr>
        <w:spacing w:line="380" w:lineRule="exact"/>
        <w:ind w:firstLineChars="200" w:firstLine="480"/>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bCs/>
          <w:color w:val="auto"/>
          <w:sz w:val="24"/>
          <w:szCs w:val="24"/>
        </w:rPr>
        <w:t>会议强调，做强做优教师教育，</w:t>
      </w:r>
      <w:r w:rsidRPr="00606B0A">
        <w:rPr>
          <w:rStyle w:val="a5"/>
          <w:rFonts w:ascii="仿宋_GB2312" w:eastAsia="仿宋_GB2312" w:hAnsi="仿宋" w:cs="Times New Roman"/>
          <w:b/>
          <w:bCs/>
          <w:color w:val="auto"/>
          <w:sz w:val="24"/>
          <w:szCs w:val="24"/>
        </w:rPr>
        <w:t>一要牢牢确立师德教育的首要位置。</w:t>
      </w:r>
      <w:r w:rsidRPr="00606B0A">
        <w:rPr>
          <w:rStyle w:val="a5"/>
          <w:rFonts w:ascii="仿宋_GB2312" w:eastAsia="仿宋_GB2312" w:hAnsi="仿宋" w:cs="Times New Roman"/>
          <w:bCs/>
          <w:color w:val="auto"/>
          <w:sz w:val="24"/>
          <w:szCs w:val="24"/>
        </w:rPr>
        <w:t>将</w:t>
      </w:r>
      <w:r w:rsidRPr="00606B0A">
        <w:rPr>
          <w:rStyle w:val="a5"/>
          <w:rFonts w:ascii="仿宋_GB2312" w:eastAsia="仿宋_GB2312" w:hAnsi="仿宋" w:cs="Times New Roman"/>
          <w:bCs/>
          <w:color w:val="auto"/>
          <w:sz w:val="24"/>
          <w:szCs w:val="24"/>
        </w:rPr>
        <w:t>“</w:t>
      </w:r>
      <w:r w:rsidRPr="00606B0A">
        <w:rPr>
          <w:rStyle w:val="a5"/>
          <w:rFonts w:ascii="仿宋_GB2312" w:eastAsia="仿宋_GB2312" w:hAnsi="仿宋" w:cs="Times New Roman"/>
          <w:bCs/>
          <w:color w:val="auto"/>
          <w:sz w:val="24"/>
          <w:szCs w:val="24"/>
        </w:rPr>
        <w:t>四有</w:t>
      </w:r>
      <w:r w:rsidRPr="00606B0A">
        <w:rPr>
          <w:rStyle w:val="a5"/>
          <w:rFonts w:ascii="仿宋_GB2312" w:eastAsia="仿宋_GB2312" w:hAnsi="仿宋" w:cs="Times New Roman"/>
          <w:bCs/>
          <w:color w:val="auto"/>
          <w:sz w:val="24"/>
          <w:szCs w:val="24"/>
        </w:rPr>
        <w:t>”</w:t>
      </w:r>
      <w:r w:rsidRPr="00606B0A">
        <w:rPr>
          <w:rStyle w:val="a5"/>
          <w:rFonts w:ascii="仿宋_GB2312" w:eastAsia="仿宋_GB2312" w:hAnsi="仿宋" w:cs="Times New Roman"/>
          <w:bCs/>
          <w:color w:val="auto"/>
          <w:sz w:val="24"/>
          <w:szCs w:val="24"/>
        </w:rPr>
        <w:t>好老师、</w:t>
      </w:r>
      <w:r w:rsidRPr="00606B0A">
        <w:rPr>
          <w:rStyle w:val="a5"/>
          <w:rFonts w:ascii="仿宋_GB2312" w:eastAsia="仿宋_GB2312" w:hAnsi="仿宋" w:cs="Times New Roman"/>
          <w:bCs/>
          <w:color w:val="auto"/>
          <w:sz w:val="24"/>
          <w:szCs w:val="24"/>
        </w:rPr>
        <w:t>“</w:t>
      </w:r>
      <w:r w:rsidRPr="00606B0A">
        <w:rPr>
          <w:rStyle w:val="a5"/>
          <w:rFonts w:ascii="仿宋_GB2312" w:eastAsia="仿宋_GB2312" w:hAnsi="仿宋" w:cs="Times New Roman"/>
          <w:bCs/>
          <w:color w:val="auto"/>
          <w:sz w:val="24"/>
          <w:szCs w:val="24"/>
        </w:rPr>
        <w:t>四个引路人</w:t>
      </w:r>
      <w:r w:rsidRPr="00606B0A">
        <w:rPr>
          <w:rStyle w:val="a5"/>
          <w:rFonts w:ascii="仿宋_GB2312" w:eastAsia="仿宋_GB2312" w:hAnsi="仿宋" w:cs="Times New Roman"/>
          <w:bCs/>
          <w:color w:val="auto"/>
          <w:sz w:val="24"/>
          <w:szCs w:val="24"/>
        </w:rPr>
        <w:t>”</w:t>
      </w:r>
      <w:r w:rsidRPr="00606B0A">
        <w:rPr>
          <w:rStyle w:val="a5"/>
          <w:rFonts w:ascii="仿宋_GB2312" w:eastAsia="仿宋_GB2312" w:hAnsi="仿宋" w:cs="Times New Roman"/>
          <w:bCs/>
          <w:color w:val="auto"/>
          <w:sz w:val="24"/>
          <w:szCs w:val="24"/>
        </w:rPr>
        <w:t>和</w:t>
      </w:r>
      <w:r w:rsidRPr="00606B0A">
        <w:rPr>
          <w:rStyle w:val="a5"/>
          <w:rFonts w:ascii="仿宋_GB2312" w:eastAsia="仿宋_GB2312" w:hAnsi="仿宋" w:cs="Times New Roman"/>
          <w:bCs/>
          <w:color w:val="auto"/>
          <w:sz w:val="24"/>
          <w:szCs w:val="24"/>
        </w:rPr>
        <w:t>“</w:t>
      </w:r>
      <w:r w:rsidRPr="00606B0A">
        <w:rPr>
          <w:rStyle w:val="a5"/>
          <w:rFonts w:ascii="仿宋_GB2312" w:eastAsia="仿宋_GB2312" w:hAnsi="仿宋" w:cs="Times New Roman"/>
          <w:bCs/>
          <w:color w:val="auto"/>
          <w:sz w:val="24"/>
          <w:szCs w:val="24"/>
        </w:rPr>
        <w:t>四个相统一</w:t>
      </w:r>
      <w:r w:rsidRPr="00606B0A">
        <w:rPr>
          <w:rStyle w:val="a5"/>
          <w:rFonts w:ascii="仿宋_GB2312" w:eastAsia="仿宋_GB2312" w:hAnsi="仿宋" w:cs="Times New Roman"/>
          <w:bCs/>
          <w:color w:val="auto"/>
          <w:sz w:val="24"/>
          <w:szCs w:val="24"/>
        </w:rPr>
        <w:t>”</w:t>
      </w:r>
      <w:r w:rsidRPr="00606B0A">
        <w:rPr>
          <w:rStyle w:val="a5"/>
          <w:rFonts w:ascii="仿宋_GB2312" w:eastAsia="仿宋_GB2312" w:hAnsi="仿宋" w:cs="Times New Roman"/>
          <w:bCs/>
          <w:color w:val="auto"/>
          <w:sz w:val="24"/>
          <w:szCs w:val="24"/>
        </w:rPr>
        <w:t>要求细化落实到教师教育课程。</w:t>
      </w:r>
      <w:r w:rsidRPr="00606B0A">
        <w:rPr>
          <w:rStyle w:val="a5"/>
          <w:rFonts w:ascii="仿宋_GB2312" w:eastAsia="仿宋_GB2312" w:hAnsi="仿宋" w:cs="Times New Roman"/>
          <w:b/>
          <w:bCs/>
          <w:color w:val="auto"/>
          <w:sz w:val="24"/>
          <w:szCs w:val="24"/>
        </w:rPr>
        <w:t>二要加大培养培训促公平力度。</w:t>
      </w:r>
      <w:r w:rsidRPr="00606B0A">
        <w:rPr>
          <w:rStyle w:val="a5"/>
          <w:rFonts w:ascii="仿宋_GB2312" w:eastAsia="仿宋_GB2312" w:hAnsi="仿宋" w:cs="Times New Roman"/>
          <w:bCs/>
          <w:color w:val="auto"/>
          <w:sz w:val="24"/>
          <w:szCs w:val="24"/>
        </w:rPr>
        <w:t>提高培养质量，增强培训实效，改善教师管理，保障教师待遇。</w:t>
      </w:r>
      <w:r w:rsidRPr="00606B0A">
        <w:rPr>
          <w:rStyle w:val="a5"/>
          <w:rFonts w:ascii="仿宋_GB2312" w:eastAsia="仿宋_GB2312" w:hAnsi="仿宋" w:cs="Times New Roman"/>
          <w:b/>
          <w:bCs/>
          <w:color w:val="auto"/>
          <w:sz w:val="24"/>
          <w:szCs w:val="24"/>
        </w:rPr>
        <w:t>三要力推教师教育供给侧结构性改革。</w:t>
      </w:r>
      <w:r w:rsidRPr="00606B0A">
        <w:rPr>
          <w:rStyle w:val="a5"/>
          <w:rFonts w:ascii="仿宋_GB2312" w:eastAsia="仿宋_GB2312" w:hAnsi="仿宋" w:cs="Times New Roman"/>
          <w:bCs/>
          <w:color w:val="auto"/>
          <w:sz w:val="24"/>
          <w:szCs w:val="24"/>
        </w:rPr>
        <w:t>提升教师培养规格层次，着力提高师范生生源质量，完善政府</w:t>
      </w:r>
      <w:r w:rsidRPr="00606B0A">
        <w:rPr>
          <w:rStyle w:val="a5"/>
          <w:rFonts w:ascii="仿宋_GB2312" w:eastAsia="仿宋_GB2312" w:hAnsi="仿宋" w:cs="Times New Roman"/>
          <w:bCs/>
          <w:color w:val="auto"/>
          <w:sz w:val="24"/>
          <w:szCs w:val="24"/>
        </w:rPr>
        <w:t>—</w:t>
      </w:r>
      <w:r w:rsidRPr="00606B0A">
        <w:rPr>
          <w:rStyle w:val="a5"/>
          <w:rFonts w:ascii="仿宋_GB2312" w:eastAsia="仿宋_GB2312" w:hAnsi="仿宋" w:cs="Times New Roman"/>
          <w:bCs/>
          <w:color w:val="auto"/>
          <w:sz w:val="24"/>
          <w:szCs w:val="24"/>
        </w:rPr>
        <w:t>高校</w:t>
      </w:r>
      <w:r w:rsidRPr="00606B0A">
        <w:rPr>
          <w:rStyle w:val="a5"/>
          <w:rFonts w:ascii="仿宋_GB2312" w:eastAsia="仿宋_GB2312" w:hAnsi="仿宋" w:cs="Times New Roman"/>
          <w:bCs/>
          <w:color w:val="auto"/>
          <w:sz w:val="24"/>
          <w:szCs w:val="24"/>
        </w:rPr>
        <w:t>—</w:t>
      </w:r>
      <w:r w:rsidRPr="00606B0A">
        <w:rPr>
          <w:rStyle w:val="a5"/>
          <w:rFonts w:ascii="仿宋_GB2312" w:eastAsia="仿宋_GB2312" w:hAnsi="仿宋" w:cs="Times New Roman"/>
          <w:bCs/>
          <w:color w:val="auto"/>
          <w:sz w:val="24"/>
          <w:szCs w:val="24"/>
        </w:rPr>
        <w:t>中小学协同育人机制，加快课程教学改革，加强教师教育师资队伍建设。</w:t>
      </w:r>
      <w:r w:rsidRPr="00606B0A">
        <w:rPr>
          <w:rStyle w:val="a5"/>
          <w:rFonts w:ascii="仿宋_GB2312" w:eastAsia="仿宋_GB2312" w:hAnsi="仿宋" w:cs="Times New Roman"/>
          <w:b/>
          <w:bCs/>
          <w:color w:val="auto"/>
          <w:sz w:val="24"/>
          <w:szCs w:val="24"/>
        </w:rPr>
        <w:t>四要着力建设高水平的教师教育体系。</w:t>
      </w:r>
      <w:r w:rsidRPr="005C7742">
        <w:rPr>
          <w:rStyle w:val="a5"/>
          <w:rFonts w:ascii="仿宋_GB2312" w:eastAsia="仿宋_GB2312" w:hAnsi="仿宋" w:cs="Times New Roman"/>
          <w:b/>
          <w:bCs/>
          <w:color w:val="auto"/>
          <w:sz w:val="24"/>
          <w:szCs w:val="24"/>
        </w:rPr>
        <w:t>以师范院校为主体</w:t>
      </w:r>
      <w:r w:rsidRPr="00606B0A">
        <w:rPr>
          <w:rStyle w:val="a5"/>
          <w:rFonts w:ascii="仿宋_GB2312" w:eastAsia="仿宋_GB2312" w:hAnsi="仿宋" w:cs="Times New Roman"/>
          <w:bCs/>
          <w:color w:val="auto"/>
          <w:sz w:val="24"/>
          <w:szCs w:val="24"/>
        </w:rPr>
        <w:t>、高水平综合大学参与，在基地建设、经费投入、院校评估、学科建设、师资队伍等方面</w:t>
      </w:r>
      <w:r w:rsidRPr="005C7742">
        <w:rPr>
          <w:rStyle w:val="a5"/>
          <w:rFonts w:ascii="仿宋_GB2312" w:eastAsia="仿宋_GB2312" w:hAnsi="仿宋" w:cs="Times New Roman"/>
          <w:b/>
          <w:bCs/>
          <w:color w:val="auto"/>
          <w:sz w:val="24"/>
          <w:szCs w:val="24"/>
        </w:rPr>
        <w:t>加大对师范院校的支持力度</w:t>
      </w:r>
      <w:r w:rsidRPr="00606B0A">
        <w:rPr>
          <w:rStyle w:val="a5"/>
          <w:rFonts w:ascii="仿宋_GB2312" w:eastAsia="仿宋_GB2312" w:hAnsi="仿宋" w:cs="Times New Roman"/>
          <w:bCs/>
          <w:color w:val="auto"/>
          <w:sz w:val="24"/>
          <w:szCs w:val="24"/>
        </w:rPr>
        <w:t>，启动开展师范类专业认证，加强教师培养质量保障体系建设。</w:t>
      </w:r>
      <w:r w:rsidR="000E44AF" w:rsidRPr="00606B0A">
        <w:rPr>
          <w:rStyle w:val="a5"/>
          <w:rFonts w:ascii="Calibri" w:eastAsia="仿宋_GB2312" w:hAnsi="Calibri" w:cs="Calibri"/>
          <w:bCs/>
          <w:color w:val="auto"/>
          <w:sz w:val="24"/>
          <w:szCs w:val="24"/>
        </w:rPr>
        <w:t xml:space="preserve">      </w:t>
      </w:r>
      <w:r w:rsidR="005C7742">
        <w:rPr>
          <w:rStyle w:val="a5"/>
          <w:rFonts w:ascii="Calibri" w:eastAsia="仿宋_GB2312" w:hAnsi="Calibri" w:cs="Calibri"/>
          <w:bCs/>
          <w:color w:val="auto"/>
          <w:sz w:val="24"/>
          <w:szCs w:val="24"/>
        </w:rPr>
        <w:t xml:space="preserve"> </w:t>
      </w:r>
      <w:r w:rsidR="000E44AF" w:rsidRPr="00606B0A">
        <w:rPr>
          <w:rStyle w:val="a5"/>
          <w:rFonts w:ascii="Calibri" w:eastAsia="仿宋_GB2312" w:hAnsi="Calibri" w:cs="Calibri"/>
          <w:bCs/>
          <w:color w:val="auto"/>
          <w:sz w:val="24"/>
          <w:szCs w:val="24"/>
        </w:rPr>
        <w:t xml:space="preserve">         </w:t>
      </w:r>
      <w:r w:rsidR="000E44AF" w:rsidRPr="00606B0A">
        <w:rPr>
          <w:rStyle w:val="a5"/>
          <w:rFonts w:ascii="仿宋_GB2312" w:eastAsia="仿宋_GB2312" w:hAnsi="仿宋" w:cs="Times New Roman" w:hint="eastAsia"/>
          <w:bCs/>
          <w:color w:val="auto"/>
          <w:sz w:val="24"/>
          <w:szCs w:val="24"/>
        </w:rPr>
        <w:t>（来源：《中国教育报》）</w:t>
      </w:r>
    </w:p>
    <w:p w:rsidR="009A29C9" w:rsidRPr="00606B0A" w:rsidRDefault="009A29C9" w:rsidP="00832F46">
      <w:pPr>
        <w:spacing w:line="380" w:lineRule="exact"/>
        <w:ind w:firstLineChars="200" w:firstLine="480"/>
        <w:rPr>
          <w:rStyle w:val="a5"/>
          <w:rFonts w:ascii="仿宋_GB2312" w:eastAsia="仿宋_GB2312" w:hAnsi="仿宋" w:cs="Times New Roman"/>
          <w:bCs/>
          <w:color w:val="auto"/>
          <w:sz w:val="24"/>
          <w:szCs w:val="24"/>
        </w:rPr>
      </w:pPr>
    </w:p>
    <w:p w:rsidR="00CB175B" w:rsidRPr="00606B0A" w:rsidRDefault="00CB175B" w:rsidP="00832F46">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 教育部拟出台教师教育振兴行动计划</w:t>
      </w:r>
    </w:p>
    <w:p w:rsidR="00CB175B" w:rsidRPr="00606B0A" w:rsidRDefault="00CB175B" w:rsidP="00832F46">
      <w:pPr>
        <w:spacing w:line="380" w:lineRule="exact"/>
        <w:ind w:firstLineChars="200" w:firstLine="480"/>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Cs/>
          <w:color w:val="auto"/>
          <w:sz w:val="24"/>
          <w:szCs w:val="24"/>
        </w:rPr>
        <w:t>教育部教师工作司司长王定华在接受采访时指出，当前师范院校存在发展困境，近年来师范院校水平虽有提升，但相比其他类型的高校发展较慢，有些师范院校想脱帽、</w:t>
      </w:r>
      <w:r w:rsidR="00E47765">
        <w:rPr>
          <w:rStyle w:val="a5"/>
          <w:rFonts w:ascii="仿宋_GB2312" w:eastAsia="仿宋_GB2312" w:hAnsi="仿宋" w:cs="Times New Roman" w:hint="eastAsia"/>
          <w:bCs/>
          <w:color w:val="auto"/>
          <w:sz w:val="24"/>
          <w:szCs w:val="24"/>
        </w:rPr>
        <w:t>想</w:t>
      </w:r>
      <w:r w:rsidR="00F94A4B">
        <w:rPr>
          <w:rStyle w:val="a5"/>
          <w:rFonts w:ascii="仿宋_GB2312" w:eastAsia="仿宋_GB2312" w:hAnsi="仿宋" w:cs="Times New Roman" w:hint="eastAsia"/>
          <w:bCs/>
          <w:color w:val="auto"/>
          <w:sz w:val="24"/>
          <w:szCs w:val="24"/>
        </w:rPr>
        <w:t>走</w:t>
      </w:r>
      <w:r w:rsidRPr="00606B0A">
        <w:rPr>
          <w:rStyle w:val="a5"/>
          <w:rFonts w:ascii="仿宋_GB2312" w:eastAsia="仿宋_GB2312" w:hAnsi="仿宋" w:cs="Times New Roman" w:hint="eastAsia"/>
          <w:bCs/>
          <w:color w:val="auto"/>
          <w:sz w:val="24"/>
          <w:szCs w:val="24"/>
        </w:rPr>
        <w:t>向综合等。</w:t>
      </w:r>
    </w:p>
    <w:p w:rsidR="00CB175B" w:rsidRDefault="00CB175B" w:rsidP="00832F46">
      <w:pPr>
        <w:spacing w:line="380" w:lineRule="exact"/>
        <w:ind w:firstLineChars="200" w:firstLine="480"/>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Cs/>
          <w:color w:val="auto"/>
          <w:sz w:val="24"/>
          <w:szCs w:val="24"/>
        </w:rPr>
        <w:t>教育部未来将从四个方面入手，振兴教师教育。</w:t>
      </w:r>
      <w:r w:rsidRPr="00606B0A">
        <w:rPr>
          <w:rStyle w:val="a5"/>
          <w:rFonts w:ascii="仿宋_GB2312" w:eastAsia="仿宋_GB2312" w:hAnsi="仿宋" w:cs="Times New Roman" w:hint="eastAsia"/>
          <w:b/>
          <w:bCs/>
          <w:color w:val="auto"/>
          <w:sz w:val="24"/>
          <w:szCs w:val="24"/>
        </w:rPr>
        <w:t>一是抓规划，</w:t>
      </w:r>
      <w:r w:rsidRPr="00606B0A">
        <w:rPr>
          <w:rStyle w:val="a5"/>
          <w:rFonts w:ascii="仿宋_GB2312" w:eastAsia="仿宋_GB2312" w:hAnsi="仿宋" w:cs="Times New Roman" w:hint="eastAsia"/>
          <w:bCs/>
          <w:color w:val="auto"/>
          <w:sz w:val="24"/>
          <w:szCs w:val="24"/>
        </w:rPr>
        <w:t>科学规划师范生培养的规模结构，确保培养与岗位需求有效衔接，制定各级各类教师培训规划；</w:t>
      </w:r>
      <w:r w:rsidRPr="00606B0A">
        <w:rPr>
          <w:rStyle w:val="a5"/>
          <w:rFonts w:ascii="仿宋_GB2312" w:eastAsia="仿宋_GB2312" w:hAnsi="仿宋" w:cs="Times New Roman" w:hint="eastAsia"/>
          <w:b/>
          <w:bCs/>
          <w:color w:val="auto"/>
          <w:sz w:val="24"/>
          <w:szCs w:val="24"/>
        </w:rPr>
        <w:t>二是抓体系，</w:t>
      </w:r>
      <w:r w:rsidRPr="00606B0A">
        <w:rPr>
          <w:rStyle w:val="a5"/>
          <w:rFonts w:ascii="仿宋_GB2312" w:eastAsia="仿宋_GB2312" w:hAnsi="仿宋" w:cs="Times New Roman" w:hint="eastAsia"/>
          <w:bCs/>
          <w:color w:val="auto"/>
          <w:sz w:val="24"/>
          <w:szCs w:val="24"/>
        </w:rPr>
        <w:t>重点建设一批国家级师范教育基地和一批示范性市县教师发展机构；</w:t>
      </w:r>
      <w:r w:rsidRPr="00606B0A">
        <w:rPr>
          <w:rStyle w:val="a5"/>
          <w:rFonts w:ascii="仿宋_GB2312" w:eastAsia="仿宋_GB2312" w:hAnsi="仿宋" w:cs="Times New Roman" w:hint="eastAsia"/>
          <w:b/>
          <w:bCs/>
          <w:color w:val="auto"/>
          <w:sz w:val="24"/>
          <w:szCs w:val="24"/>
        </w:rPr>
        <w:t>三是抓投入，</w:t>
      </w:r>
      <w:r w:rsidRPr="00606B0A">
        <w:rPr>
          <w:rStyle w:val="a5"/>
          <w:rFonts w:ascii="仿宋_GB2312" w:eastAsia="仿宋_GB2312" w:hAnsi="仿宋" w:cs="Times New Roman" w:hint="eastAsia"/>
          <w:bCs/>
          <w:color w:val="auto"/>
          <w:sz w:val="24"/>
          <w:szCs w:val="24"/>
        </w:rPr>
        <w:t>提高师范生生均拨款标准，加大对师范教育的投入力度，落实中小学按年度公用经费预算总额的5%安排教师培训经费；</w:t>
      </w:r>
      <w:r w:rsidRPr="00606B0A">
        <w:rPr>
          <w:rStyle w:val="a5"/>
          <w:rFonts w:ascii="仿宋_GB2312" w:eastAsia="仿宋_GB2312" w:hAnsi="仿宋" w:cs="Times New Roman" w:hint="eastAsia"/>
          <w:b/>
          <w:bCs/>
          <w:color w:val="auto"/>
          <w:sz w:val="24"/>
          <w:szCs w:val="24"/>
        </w:rPr>
        <w:t>四是抓认证，</w:t>
      </w:r>
      <w:r w:rsidRPr="00606B0A">
        <w:rPr>
          <w:rStyle w:val="a5"/>
          <w:rFonts w:ascii="仿宋_GB2312" w:eastAsia="仿宋_GB2312" w:hAnsi="仿宋" w:cs="Times New Roman" w:hint="eastAsia"/>
          <w:bCs/>
          <w:color w:val="auto"/>
          <w:sz w:val="24"/>
          <w:szCs w:val="24"/>
        </w:rPr>
        <w:t>发布师范类</w:t>
      </w:r>
      <w:r w:rsidRPr="00606B0A">
        <w:rPr>
          <w:rStyle w:val="a5"/>
          <w:rFonts w:ascii="仿宋_GB2312" w:eastAsia="仿宋_GB2312" w:hAnsi="仿宋" w:cs="Times New Roman" w:hint="eastAsia"/>
          <w:bCs/>
          <w:color w:val="auto"/>
          <w:sz w:val="24"/>
          <w:szCs w:val="24"/>
        </w:rPr>
        <w:lastRenderedPageBreak/>
        <w:t>专业认证标准，开展师范类专业认证，对于认证卓越的师范专业给予更多支持；建设全国教师教育基本状况的数据库，建立教师培养培训质量监测机构，强化教师培训质量评估制度。努力建设一支</w:t>
      </w:r>
      <w:r w:rsidRPr="00606B0A">
        <w:rPr>
          <w:rStyle w:val="a5"/>
          <w:rFonts w:ascii="仿宋_GB2312" w:eastAsia="仿宋_GB2312" w:hAnsi="仿宋" w:cs="Times New Roman" w:hint="eastAsia"/>
          <w:b/>
          <w:bCs/>
          <w:color w:val="auto"/>
          <w:sz w:val="24"/>
          <w:szCs w:val="24"/>
        </w:rPr>
        <w:t>师德高尚、业务精湛、结构合理、充满活力</w:t>
      </w:r>
      <w:r w:rsidRPr="00606B0A">
        <w:rPr>
          <w:rStyle w:val="a5"/>
          <w:rFonts w:ascii="仿宋_GB2312" w:eastAsia="仿宋_GB2312" w:hAnsi="仿宋" w:cs="Times New Roman" w:hint="eastAsia"/>
          <w:bCs/>
          <w:color w:val="auto"/>
          <w:sz w:val="24"/>
          <w:szCs w:val="24"/>
        </w:rPr>
        <w:t xml:space="preserve">的高素质专业化创新型的教师队伍。  </w:t>
      </w:r>
      <w:r w:rsidRPr="00606B0A">
        <w:rPr>
          <w:rStyle w:val="a5"/>
          <w:rFonts w:ascii="仿宋_GB2312" w:eastAsia="仿宋_GB2312" w:hAnsi="仿宋" w:cs="Times New Roman"/>
          <w:bCs/>
          <w:color w:val="auto"/>
          <w:sz w:val="24"/>
          <w:szCs w:val="24"/>
        </w:rPr>
        <w:t xml:space="preserve">            </w:t>
      </w:r>
      <w:r w:rsidRPr="00606B0A">
        <w:rPr>
          <w:rStyle w:val="a5"/>
          <w:rFonts w:ascii="仿宋_GB2312" w:eastAsia="仿宋_GB2312" w:hAnsi="仿宋" w:cs="Times New Roman" w:hint="eastAsia"/>
          <w:bCs/>
          <w:color w:val="auto"/>
          <w:sz w:val="24"/>
          <w:szCs w:val="24"/>
        </w:rPr>
        <w:t>（来源：《中国教育报》）</w:t>
      </w:r>
    </w:p>
    <w:p w:rsidR="00CB175B" w:rsidRPr="00606B0A" w:rsidRDefault="00CB175B" w:rsidP="00832F46">
      <w:pPr>
        <w:spacing w:line="380" w:lineRule="exact"/>
        <w:ind w:firstLineChars="200" w:firstLine="480"/>
        <w:rPr>
          <w:rStyle w:val="a5"/>
          <w:rFonts w:ascii="仿宋_GB2312" w:eastAsia="仿宋_GB2312" w:hAnsi="仿宋" w:cs="Times New Roman"/>
          <w:bCs/>
          <w:color w:val="auto"/>
          <w:sz w:val="24"/>
          <w:szCs w:val="24"/>
        </w:rPr>
      </w:pPr>
    </w:p>
    <w:p w:rsidR="00A069D9" w:rsidRPr="00606B0A" w:rsidRDefault="00A069D9" w:rsidP="00832F46">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 教育部党组出台高层次人才发展指导意见</w:t>
      </w:r>
    </w:p>
    <w:p w:rsidR="00A069D9" w:rsidRPr="00606B0A" w:rsidRDefault="00A069D9" w:rsidP="00832F46">
      <w:pPr>
        <w:spacing w:line="380" w:lineRule="exact"/>
        <w:ind w:firstLineChars="200" w:firstLine="480"/>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bCs/>
          <w:color w:val="auto"/>
          <w:sz w:val="24"/>
          <w:szCs w:val="24"/>
        </w:rPr>
        <w:t>日前，中共教育部党组印发了《关于加快直属高校高层次人才发展的指导意见》。《意见》提出，直属高校高层次人才发展要坚持党管人才、服务发展大局、突出育人导向、激发人才活力、优化人才布局和扩大人才开放等6条基本原则，到2020年实现高层次人才队伍规模、结构和质量适应事业发展需求，服务创新驱动发展战略、推动国家经济社会发展的示范引领作用进一步增强，推动形成具有中国特色和国际竞争力的高校人才制度体系和发展环境。</w:t>
      </w:r>
    </w:p>
    <w:p w:rsidR="00A069D9" w:rsidRPr="00606B0A" w:rsidRDefault="00A069D9" w:rsidP="00832F46">
      <w:pPr>
        <w:spacing w:line="380" w:lineRule="exact"/>
        <w:ind w:firstLineChars="200" w:firstLine="480"/>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bCs/>
          <w:color w:val="auto"/>
          <w:sz w:val="24"/>
          <w:szCs w:val="24"/>
        </w:rPr>
        <w:t>《意见》明确了加强人才工作组织领导，强化高层次人才培育支持，完善青年人才培养机制，在加强海外高层次人才引进，充分发挥海外高层次人才作用，优化高层次人才考核评价和创新高层次人才激励保障机制，规范高层次人才有序流动等方面的具体举措。</w:t>
      </w:r>
      <w:r w:rsidRPr="00606B0A">
        <w:rPr>
          <w:rStyle w:val="a5"/>
          <w:rFonts w:ascii="仿宋_GB2312" w:eastAsia="仿宋_GB2312" w:hAnsi="仿宋" w:cs="Times New Roman"/>
          <w:bCs/>
          <w:color w:val="auto"/>
          <w:sz w:val="24"/>
          <w:szCs w:val="24"/>
        </w:rPr>
        <w:tab/>
        <w:t xml:space="preserve">                      </w:t>
      </w:r>
      <w:r w:rsidRPr="00606B0A">
        <w:rPr>
          <w:rStyle w:val="a5"/>
          <w:rFonts w:ascii="仿宋_GB2312" w:eastAsia="仿宋_GB2312" w:hAnsi="仿宋" w:cs="Times New Roman" w:hint="eastAsia"/>
          <w:bCs/>
          <w:color w:val="auto"/>
          <w:sz w:val="24"/>
          <w:szCs w:val="24"/>
        </w:rPr>
        <w:t>（来源：《中国教育报》）</w:t>
      </w:r>
    </w:p>
    <w:p w:rsidR="00A069D9" w:rsidRPr="00606B0A" w:rsidRDefault="00A069D9" w:rsidP="00832F46">
      <w:pPr>
        <w:spacing w:line="380" w:lineRule="exact"/>
        <w:ind w:firstLineChars="200" w:firstLine="480"/>
        <w:rPr>
          <w:rStyle w:val="a5"/>
          <w:rFonts w:ascii="仿宋_GB2312" w:eastAsia="仿宋_GB2312" w:hAnsi="仿宋" w:cs="Times New Roman"/>
          <w:bCs/>
          <w:color w:val="auto"/>
          <w:sz w:val="24"/>
          <w:szCs w:val="24"/>
        </w:rPr>
      </w:pPr>
    </w:p>
    <w:p w:rsidR="009A29C9" w:rsidRPr="00606B0A" w:rsidRDefault="009A29C9" w:rsidP="00832F46">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 xml:space="preserve">◆ </w:t>
      </w:r>
      <w:r w:rsidR="00043277" w:rsidRPr="00606B0A">
        <w:rPr>
          <w:rStyle w:val="a5"/>
          <w:rFonts w:ascii="仿宋_GB2312" w:eastAsia="仿宋_GB2312" w:hAnsi="仿宋" w:hint="eastAsia"/>
          <w:b/>
          <w:bCs/>
          <w:color w:val="auto"/>
          <w:sz w:val="24"/>
        </w:rPr>
        <w:t>《</w:t>
      </w:r>
      <w:r w:rsidRPr="00606B0A">
        <w:rPr>
          <w:rStyle w:val="a5"/>
          <w:rFonts w:ascii="仿宋_GB2312" w:eastAsia="仿宋_GB2312" w:hAnsi="仿宋" w:hint="eastAsia"/>
          <w:b/>
          <w:bCs/>
          <w:color w:val="auto"/>
          <w:sz w:val="24"/>
        </w:rPr>
        <w:t>中国STEM教育白皮书</w:t>
      </w:r>
      <w:r w:rsidR="00043277" w:rsidRPr="00606B0A">
        <w:rPr>
          <w:rStyle w:val="a5"/>
          <w:rFonts w:ascii="仿宋_GB2312" w:eastAsia="仿宋_GB2312" w:hAnsi="仿宋" w:hint="eastAsia"/>
          <w:b/>
          <w:bCs/>
          <w:color w:val="auto"/>
          <w:sz w:val="24"/>
        </w:rPr>
        <w:t>》</w:t>
      </w:r>
      <w:r w:rsidRPr="00606B0A">
        <w:rPr>
          <w:rStyle w:val="a5"/>
          <w:rFonts w:ascii="仿宋_GB2312" w:eastAsia="仿宋_GB2312" w:hAnsi="仿宋" w:hint="eastAsia"/>
          <w:b/>
          <w:bCs/>
          <w:color w:val="auto"/>
          <w:sz w:val="24"/>
        </w:rPr>
        <w:t>发布</w:t>
      </w:r>
    </w:p>
    <w:p w:rsidR="00CB175B" w:rsidRDefault="00CB175B" w:rsidP="00832F46">
      <w:pPr>
        <w:spacing w:line="380" w:lineRule="exact"/>
        <w:ind w:firstLineChars="200" w:firstLine="480"/>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bCs/>
          <w:color w:val="auto"/>
          <w:sz w:val="24"/>
          <w:szCs w:val="24"/>
        </w:rPr>
        <w:t>“</w:t>
      </w:r>
      <w:r w:rsidRPr="00606B0A">
        <w:rPr>
          <w:rStyle w:val="a5"/>
          <w:rFonts w:ascii="仿宋_GB2312" w:eastAsia="仿宋_GB2312" w:hAnsi="仿宋" w:cs="Times New Roman"/>
          <w:bCs/>
          <w:color w:val="auto"/>
          <w:sz w:val="24"/>
          <w:szCs w:val="24"/>
        </w:rPr>
        <w:t>ST</w:t>
      </w:r>
      <w:r w:rsidRPr="00606B0A">
        <w:rPr>
          <w:rStyle w:val="a5"/>
          <w:rFonts w:ascii="仿宋_GB2312" w:eastAsia="仿宋_GB2312" w:hAnsi="仿宋" w:cs="Times New Roman" w:hint="eastAsia"/>
          <w:bCs/>
          <w:color w:val="auto"/>
          <w:sz w:val="24"/>
          <w:szCs w:val="24"/>
        </w:rPr>
        <w:t>EM</w:t>
      </w:r>
      <w:r w:rsidRPr="00606B0A">
        <w:rPr>
          <w:rStyle w:val="a5"/>
          <w:rFonts w:ascii="仿宋_GB2312" w:eastAsia="仿宋_GB2312" w:hAnsi="仿宋" w:cs="Times New Roman"/>
          <w:bCs/>
          <w:color w:val="auto"/>
          <w:sz w:val="24"/>
          <w:szCs w:val="24"/>
        </w:rPr>
        <w:t>”</w:t>
      </w:r>
      <w:r w:rsidRPr="00606B0A">
        <w:rPr>
          <w:rStyle w:val="a5"/>
          <w:rFonts w:ascii="仿宋_GB2312" w:eastAsia="仿宋_GB2312" w:hAnsi="仿宋" w:cs="Times New Roman" w:hint="eastAsia"/>
          <w:bCs/>
          <w:color w:val="auto"/>
          <w:sz w:val="24"/>
          <w:szCs w:val="24"/>
        </w:rPr>
        <w:t>为科学（Science），技术（Technology），工程（Engineering），数学（Mathematics）四个英文单词首字母的缩写，“STEM教育”指科学、技术、工程、数学教育。</w:t>
      </w:r>
    </w:p>
    <w:p w:rsidR="000C4A8B" w:rsidRPr="00606B0A" w:rsidRDefault="000C4A8B" w:rsidP="00832F46">
      <w:pPr>
        <w:spacing w:line="380" w:lineRule="exact"/>
        <w:ind w:firstLineChars="200" w:firstLine="480"/>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bCs/>
          <w:color w:val="auto"/>
          <w:sz w:val="24"/>
          <w:szCs w:val="24"/>
        </w:rPr>
        <w:t>目前，中国教育科学研究院STEM教育研究中心正式发布</w:t>
      </w:r>
      <w:r w:rsidRPr="00606B0A">
        <w:rPr>
          <w:rStyle w:val="a5"/>
          <w:rFonts w:ascii="仿宋_GB2312" w:eastAsia="仿宋_GB2312" w:hAnsi="仿宋" w:cs="Times New Roman"/>
          <w:b/>
          <w:bCs/>
          <w:color w:val="auto"/>
          <w:sz w:val="24"/>
          <w:szCs w:val="24"/>
        </w:rPr>
        <w:t>《中国STEM教育白皮书》</w:t>
      </w:r>
      <w:r w:rsidRPr="00606B0A">
        <w:rPr>
          <w:rStyle w:val="a5"/>
          <w:rFonts w:ascii="仿宋_GB2312" w:eastAsia="仿宋_GB2312" w:hAnsi="仿宋" w:cs="Times New Roman"/>
          <w:bCs/>
          <w:color w:val="auto"/>
          <w:sz w:val="24"/>
          <w:szCs w:val="24"/>
        </w:rPr>
        <w:t>。该报告指出，STEM教育在中国进入蓬勃发展阶段，在教育实践、理论研究和教育政策方面取得</w:t>
      </w:r>
      <w:r w:rsidRPr="00606B0A">
        <w:rPr>
          <w:rStyle w:val="a5"/>
          <w:rFonts w:ascii="仿宋_GB2312" w:eastAsia="仿宋_GB2312" w:hAnsi="仿宋" w:cs="Times New Roman"/>
          <w:b/>
          <w:bCs/>
          <w:color w:val="auto"/>
          <w:sz w:val="24"/>
          <w:szCs w:val="24"/>
        </w:rPr>
        <w:t>明显进展</w:t>
      </w:r>
      <w:r w:rsidRPr="00606B0A">
        <w:rPr>
          <w:rStyle w:val="a5"/>
          <w:rFonts w:ascii="仿宋_GB2312" w:eastAsia="仿宋_GB2312" w:hAnsi="仿宋" w:cs="Times New Roman"/>
          <w:bCs/>
          <w:color w:val="auto"/>
          <w:sz w:val="24"/>
          <w:szCs w:val="24"/>
        </w:rPr>
        <w:t>，主要表现在</w:t>
      </w:r>
      <w:r w:rsidRPr="00606B0A">
        <w:rPr>
          <w:rStyle w:val="a5"/>
          <w:rFonts w:ascii="仿宋_GB2312" w:eastAsia="仿宋_GB2312" w:hAnsi="仿宋" w:cs="Times New Roman"/>
          <w:b/>
          <w:bCs/>
          <w:color w:val="auto"/>
          <w:sz w:val="24"/>
          <w:szCs w:val="24"/>
        </w:rPr>
        <w:t>三个方面</w:t>
      </w:r>
      <w:r w:rsidRPr="00606B0A">
        <w:rPr>
          <w:rStyle w:val="a5"/>
          <w:rFonts w:ascii="仿宋_GB2312" w:eastAsia="仿宋_GB2312" w:hAnsi="仿宋" w:cs="Times New Roman"/>
          <w:bCs/>
          <w:color w:val="auto"/>
          <w:sz w:val="24"/>
          <w:szCs w:val="24"/>
        </w:rPr>
        <w:t>，</w:t>
      </w:r>
      <w:r w:rsidRPr="00606B0A">
        <w:rPr>
          <w:rStyle w:val="a5"/>
          <w:rFonts w:ascii="仿宋_GB2312" w:eastAsia="仿宋_GB2312" w:hAnsi="仿宋" w:cs="Times New Roman"/>
          <w:b/>
          <w:bCs/>
          <w:color w:val="auto"/>
          <w:sz w:val="24"/>
          <w:szCs w:val="24"/>
        </w:rPr>
        <w:t>一是</w:t>
      </w:r>
      <w:r w:rsidRPr="00606B0A">
        <w:rPr>
          <w:rStyle w:val="a5"/>
          <w:rFonts w:ascii="仿宋_GB2312" w:eastAsia="仿宋_GB2312" w:hAnsi="仿宋" w:cs="Times New Roman"/>
          <w:bCs/>
          <w:color w:val="auto"/>
          <w:sz w:val="24"/>
          <w:szCs w:val="24"/>
        </w:rPr>
        <w:t>各地积极探索STEM教育推进方式，</w:t>
      </w:r>
      <w:r w:rsidRPr="00606B0A">
        <w:rPr>
          <w:rStyle w:val="a5"/>
          <w:rFonts w:ascii="仿宋_GB2312" w:eastAsia="仿宋_GB2312" w:hAnsi="仿宋" w:cs="Times New Roman"/>
          <w:b/>
          <w:bCs/>
          <w:color w:val="auto"/>
          <w:sz w:val="24"/>
          <w:szCs w:val="24"/>
        </w:rPr>
        <w:t>二是</w:t>
      </w:r>
      <w:r w:rsidRPr="00606B0A">
        <w:rPr>
          <w:rStyle w:val="a5"/>
          <w:rFonts w:ascii="仿宋_GB2312" w:eastAsia="仿宋_GB2312" w:hAnsi="仿宋" w:cs="Times New Roman"/>
          <w:bCs/>
          <w:color w:val="auto"/>
          <w:sz w:val="24"/>
          <w:szCs w:val="24"/>
        </w:rPr>
        <w:t>STEM教育研究呈逐渐繁荣的态势，</w:t>
      </w:r>
      <w:r w:rsidRPr="00606B0A">
        <w:rPr>
          <w:rStyle w:val="a5"/>
          <w:rFonts w:ascii="仿宋_GB2312" w:eastAsia="仿宋_GB2312" w:hAnsi="仿宋" w:cs="Times New Roman"/>
          <w:b/>
          <w:bCs/>
          <w:color w:val="auto"/>
          <w:sz w:val="24"/>
          <w:szCs w:val="24"/>
        </w:rPr>
        <w:t>三是</w:t>
      </w:r>
      <w:r w:rsidRPr="00606B0A">
        <w:rPr>
          <w:rStyle w:val="a5"/>
          <w:rFonts w:ascii="仿宋_GB2312" w:eastAsia="仿宋_GB2312" w:hAnsi="仿宋" w:cs="Times New Roman"/>
          <w:bCs/>
          <w:color w:val="auto"/>
          <w:sz w:val="24"/>
          <w:szCs w:val="24"/>
        </w:rPr>
        <w:t>STEM教育被纳入国家战略发展政策。但是也存在严峻的挑战，如我国普遍存在人才培养的层次结构不能与市场需求相匹配、高素质综合能力较强的复合人才匮乏、STEM人才缺口较大等问题。</w:t>
      </w:r>
    </w:p>
    <w:p w:rsidR="000C4A8B" w:rsidRPr="00606B0A" w:rsidRDefault="000C4A8B" w:rsidP="00832F46">
      <w:pPr>
        <w:spacing w:line="380" w:lineRule="exact"/>
        <w:ind w:firstLineChars="200" w:firstLine="480"/>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bCs/>
          <w:color w:val="auto"/>
          <w:sz w:val="24"/>
          <w:szCs w:val="24"/>
        </w:rPr>
        <w:t>报告指出STEM教育迫切需要解决的</w:t>
      </w:r>
      <w:r w:rsidRPr="00606B0A">
        <w:rPr>
          <w:rStyle w:val="a5"/>
          <w:rFonts w:ascii="仿宋_GB2312" w:eastAsia="仿宋_GB2312" w:hAnsi="仿宋" w:cs="Times New Roman"/>
          <w:b/>
          <w:bCs/>
          <w:color w:val="auto"/>
          <w:sz w:val="24"/>
          <w:szCs w:val="24"/>
        </w:rPr>
        <w:t>根本问题</w:t>
      </w:r>
      <w:r w:rsidRPr="00606B0A">
        <w:rPr>
          <w:rStyle w:val="a5"/>
          <w:rFonts w:ascii="仿宋_GB2312" w:eastAsia="仿宋_GB2312" w:hAnsi="仿宋" w:cs="Times New Roman"/>
          <w:bCs/>
          <w:color w:val="auto"/>
          <w:sz w:val="24"/>
          <w:szCs w:val="24"/>
        </w:rPr>
        <w:t>有：缺少STEM教育战略高度的顶层设计，社会联动机制不健全，缺少打通学段的整体设计，标准与评估机制尚未建立，STEM师资队伍整体水平不高，缺乏国家级项目的示范引领，等等。</w:t>
      </w:r>
    </w:p>
    <w:p w:rsidR="000C4A8B" w:rsidRPr="00606B0A" w:rsidRDefault="000C4A8B" w:rsidP="00832F46">
      <w:pPr>
        <w:spacing w:line="380" w:lineRule="exact"/>
        <w:ind w:firstLineChars="200" w:firstLine="480"/>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bCs/>
          <w:color w:val="auto"/>
          <w:sz w:val="24"/>
          <w:szCs w:val="24"/>
        </w:rPr>
        <w:t>为进一步发挥STEM教育在促进科技创新和提高国家竞争力中的基础性和先导性作用，中国教育科学研究院启动</w:t>
      </w:r>
      <w:r w:rsidRPr="00606B0A">
        <w:rPr>
          <w:rStyle w:val="a5"/>
          <w:rFonts w:ascii="仿宋_GB2312" w:eastAsia="仿宋_GB2312" w:hAnsi="仿宋" w:cs="Times New Roman"/>
          <w:b/>
          <w:bCs/>
          <w:color w:val="auto"/>
          <w:sz w:val="24"/>
          <w:szCs w:val="24"/>
        </w:rPr>
        <w:t>“</w:t>
      </w:r>
      <w:r w:rsidRPr="00606B0A">
        <w:rPr>
          <w:rStyle w:val="a5"/>
          <w:rFonts w:ascii="仿宋_GB2312" w:eastAsia="仿宋_GB2312" w:hAnsi="仿宋" w:cs="Times New Roman"/>
          <w:b/>
          <w:bCs/>
          <w:color w:val="auto"/>
          <w:sz w:val="24"/>
          <w:szCs w:val="24"/>
        </w:rPr>
        <w:t>中国STEM教育2029创新行动计划</w:t>
      </w:r>
      <w:r w:rsidRPr="00606B0A">
        <w:rPr>
          <w:rStyle w:val="a5"/>
          <w:rFonts w:ascii="仿宋_GB2312" w:eastAsia="仿宋_GB2312" w:hAnsi="仿宋" w:cs="Times New Roman"/>
          <w:b/>
          <w:bCs/>
          <w:color w:val="auto"/>
          <w:sz w:val="24"/>
          <w:szCs w:val="24"/>
        </w:rPr>
        <w:t>”</w:t>
      </w:r>
      <w:r w:rsidRPr="00606B0A">
        <w:rPr>
          <w:rStyle w:val="a5"/>
          <w:rFonts w:ascii="仿宋_GB2312" w:eastAsia="仿宋_GB2312" w:hAnsi="仿宋" w:cs="Times New Roman"/>
          <w:bCs/>
          <w:color w:val="auto"/>
          <w:sz w:val="24"/>
          <w:szCs w:val="24"/>
        </w:rPr>
        <w:t>，以服务国家创新驱动发展战略为宗旨，整合全社会资源，建立由政府部门、科研机构、高新企业、社区和学校相融合的中国STEM教育生态系统，打造覆盖全国的STEM教育示范基地，培养一大批国家发展急需的创新人才和高水平技能人才。该计划包括：促进STEM教育政策顶层设计，实施STEM人才培养畅通计划，建设资源整合和师资培养平台，建设STEM课程标准与评价体系，努力打造一体化STEM创新生态系统，打造服务经济的教育与人才战略高地，推广STEM教育成功模式等。</w:t>
      </w:r>
      <w:r w:rsidRPr="00606B0A">
        <w:rPr>
          <w:rStyle w:val="a5"/>
          <w:rFonts w:ascii="仿宋_GB2312" w:eastAsia="仿宋_GB2312" w:hAnsi="仿宋" w:cs="Times New Roman" w:hint="eastAsia"/>
          <w:bCs/>
          <w:color w:val="auto"/>
          <w:sz w:val="24"/>
          <w:szCs w:val="24"/>
        </w:rPr>
        <w:t xml:space="preserve">  </w:t>
      </w:r>
      <w:r w:rsidRPr="00606B0A">
        <w:rPr>
          <w:rStyle w:val="a5"/>
          <w:rFonts w:ascii="仿宋_GB2312" w:eastAsia="仿宋_GB2312" w:hAnsi="仿宋" w:cs="Times New Roman"/>
          <w:bCs/>
          <w:color w:val="auto"/>
          <w:sz w:val="24"/>
          <w:szCs w:val="24"/>
        </w:rPr>
        <w:t xml:space="preserve">                                         </w:t>
      </w:r>
      <w:r w:rsidRPr="00606B0A">
        <w:rPr>
          <w:rStyle w:val="a5"/>
          <w:rFonts w:ascii="仿宋_GB2312" w:eastAsia="仿宋_GB2312" w:hAnsi="仿宋" w:cs="Times New Roman" w:hint="eastAsia"/>
          <w:bCs/>
          <w:color w:val="auto"/>
          <w:sz w:val="24"/>
          <w:szCs w:val="24"/>
        </w:rPr>
        <w:t>（来源：《中国教育报》）</w:t>
      </w:r>
    </w:p>
    <w:p w:rsidR="009A29C9" w:rsidRPr="00606B0A" w:rsidRDefault="009A29C9" w:rsidP="00832F46">
      <w:pPr>
        <w:spacing w:line="380" w:lineRule="exact"/>
        <w:ind w:firstLineChars="200" w:firstLine="480"/>
        <w:rPr>
          <w:rStyle w:val="a5"/>
          <w:rFonts w:ascii="仿宋_GB2312" w:eastAsia="仿宋_GB2312" w:hAnsi="仿宋" w:cs="Times New Roman"/>
          <w:bCs/>
          <w:color w:val="auto"/>
          <w:sz w:val="24"/>
          <w:szCs w:val="24"/>
        </w:rPr>
      </w:pPr>
    </w:p>
    <w:p w:rsidR="009523DB" w:rsidRPr="00606B0A" w:rsidRDefault="009523DB" w:rsidP="00832F46">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sidR="00B30014" w:rsidRPr="00606B0A">
        <w:rPr>
          <w:rStyle w:val="a5"/>
          <w:rFonts w:ascii="仿宋_GB2312" w:eastAsia="仿宋_GB2312" w:hAnsi="仿宋" w:hint="eastAsia"/>
          <w:b/>
          <w:bCs/>
          <w:color w:val="auto"/>
          <w:sz w:val="24"/>
        </w:rPr>
        <w:t xml:space="preserve"> 安徽省高校教师职称评审权全部下放</w:t>
      </w:r>
    </w:p>
    <w:p w:rsidR="009A29C9" w:rsidRPr="00606B0A" w:rsidRDefault="009A29C9" w:rsidP="00832F46">
      <w:pPr>
        <w:spacing w:line="380" w:lineRule="exact"/>
        <w:ind w:firstLineChars="200" w:firstLine="480"/>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Cs/>
          <w:color w:val="auto"/>
          <w:sz w:val="24"/>
          <w:szCs w:val="24"/>
        </w:rPr>
        <w:t>日前，安徽省省教育厅、人社厅联合印发了《安徽省高校教师职称评审权下放工作实施方案（试行）》，将全省高校教师职称评审权全部下放至各高校。主要做法有：</w:t>
      </w:r>
    </w:p>
    <w:p w:rsidR="009A29C9" w:rsidRDefault="009A29C9" w:rsidP="00832F46">
      <w:pPr>
        <w:spacing w:line="380" w:lineRule="exact"/>
        <w:ind w:firstLineChars="200" w:firstLine="482"/>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
          <w:bCs/>
          <w:color w:val="auto"/>
          <w:sz w:val="24"/>
          <w:szCs w:val="24"/>
        </w:rPr>
        <w:t>做到应放尽放，</w:t>
      </w:r>
      <w:r w:rsidRPr="00606B0A">
        <w:rPr>
          <w:rStyle w:val="a5"/>
          <w:rFonts w:ascii="仿宋_GB2312" w:eastAsia="仿宋_GB2312" w:hAnsi="仿宋" w:cs="Times New Roman" w:hint="eastAsia"/>
          <w:bCs/>
          <w:color w:val="auto"/>
          <w:sz w:val="24"/>
          <w:szCs w:val="24"/>
        </w:rPr>
        <w:t>将本科高校和高等职业院校教师系列和实验系列专业技术职务任职资格评审权工作，一次性全部下放至各高校。</w:t>
      </w:r>
      <w:r w:rsidRPr="00606B0A">
        <w:rPr>
          <w:rStyle w:val="a5"/>
          <w:rFonts w:ascii="仿宋_GB2312" w:eastAsia="仿宋_GB2312" w:hAnsi="仿宋" w:cs="Times New Roman" w:hint="eastAsia"/>
          <w:b/>
          <w:bCs/>
          <w:color w:val="auto"/>
          <w:sz w:val="24"/>
          <w:szCs w:val="24"/>
        </w:rPr>
        <w:t>树立正确导向，</w:t>
      </w:r>
      <w:r w:rsidRPr="00606B0A">
        <w:rPr>
          <w:rStyle w:val="a5"/>
          <w:rFonts w:ascii="仿宋_GB2312" w:eastAsia="仿宋_GB2312" w:hAnsi="仿宋" w:cs="Times New Roman" w:hint="eastAsia"/>
          <w:bCs/>
          <w:color w:val="auto"/>
          <w:sz w:val="24"/>
          <w:szCs w:val="24"/>
        </w:rPr>
        <w:t>克服唯学历、唯资历、唯论文倾向，科学客观公正评价各类教师，为不同类型的教师提供适合其职业晋升的发展通道。</w:t>
      </w:r>
      <w:r w:rsidRPr="00606B0A">
        <w:rPr>
          <w:rStyle w:val="a5"/>
          <w:rFonts w:ascii="仿宋_GB2312" w:eastAsia="仿宋_GB2312" w:hAnsi="仿宋" w:cs="Times New Roman" w:hint="eastAsia"/>
          <w:b/>
          <w:bCs/>
          <w:color w:val="auto"/>
          <w:sz w:val="24"/>
          <w:szCs w:val="24"/>
        </w:rPr>
        <w:t>注重过程管理，</w:t>
      </w:r>
      <w:r w:rsidRPr="00606B0A">
        <w:rPr>
          <w:rStyle w:val="a5"/>
          <w:rFonts w:ascii="仿宋_GB2312" w:eastAsia="仿宋_GB2312" w:hAnsi="仿宋" w:cs="Times New Roman" w:hint="eastAsia"/>
          <w:bCs/>
          <w:color w:val="auto"/>
          <w:sz w:val="24"/>
          <w:szCs w:val="24"/>
        </w:rPr>
        <w:t>各高校制定本校教师职称评审工作实施方案，成立年度评审专家委员会（下设若干学科评议组）。省教育厅建立省级高校职称评审专家库，为各高校提供指导帮助等服务工作。</w:t>
      </w:r>
      <w:r w:rsidRPr="00606B0A">
        <w:rPr>
          <w:rStyle w:val="a5"/>
          <w:rFonts w:ascii="仿宋_GB2312" w:eastAsia="仿宋_GB2312" w:hAnsi="仿宋" w:cs="Times New Roman" w:hint="eastAsia"/>
          <w:b/>
          <w:bCs/>
          <w:color w:val="auto"/>
          <w:sz w:val="24"/>
          <w:szCs w:val="24"/>
        </w:rPr>
        <w:t>做好结果备案，</w:t>
      </w:r>
      <w:r w:rsidRPr="00606B0A">
        <w:rPr>
          <w:rStyle w:val="a5"/>
          <w:rFonts w:ascii="仿宋_GB2312" w:eastAsia="仿宋_GB2312" w:hAnsi="仿宋" w:cs="Times New Roman" w:hint="eastAsia"/>
          <w:bCs/>
          <w:color w:val="auto"/>
          <w:sz w:val="24"/>
          <w:szCs w:val="24"/>
        </w:rPr>
        <w:t>各高校应做到评审政策公开、标准公开、程序公开、结果公开。并将评审结果报省教育厅、省人社厅备案。</w:t>
      </w:r>
      <w:r w:rsidRPr="00606B0A">
        <w:rPr>
          <w:rStyle w:val="a5"/>
          <w:rFonts w:ascii="仿宋_GB2312" w:eastAsia="仿宋_GB2312" w:hAnsi="仿宋" w:cs="Times New Roman" w:hint="eastAsia"/>
          <w:b/>
          <w:bCs/>
          <w:color w:val="auto"/>
          <w:sz w:val="24"/>
          <w:szCs w:val="24"/>
        </w:rPr>
        <w:t>坚持放管结合，</w:t>
      </w:r>
      <w:r w:rsidRPr="00606B0A">
        <w:rPr>
          <w:rStyle w:val="a5"/>
          <w:rFonts w:ascii="仿宋_GB2312" w:eastAsia="仿宋_GB2312" w:hAnsi="仿宋" w:cs="Times New Roman" w:hint="eastAsia"/>
          <w:bCs/>
          <w:color w:val="auto"/>
          <w:sz w:val="24"/>
          <w:szCs w:val="24"/>
        </w:rPr>
        <w:t xml:space="preserve">对在评审工作中存在问题学校，追究学校领导班子及相关人员的责任。  </w:t>
      </w:r>
      <w:r w:rsidRPr="00606B0A">
        <w:rPr>
          <w:rStyle w:val="a5"/>
          <w:rFonts w:ascii="仿宋_GB2312" w:eastAsia="仿宋_GB2312" w:hAnsi="仿宋" w:cs="Times New Roman"/>
          <w:bCs/>
          <w:color w:val="auto"/>
          <w:sz w:val="24"/>
          <w:szCs w:val="24"/>
        </w:rPr>
        <w:t xml:space="preserve">                </w:t>
      </w:r>
      <w:r w:rsidRPr="00606B0A">
        <w:rPr>
          <w:rStyle w:val="a5"/>
          <w:rFonts w:ascii="仿宋_GB2312" w:eastAsia="仿宋_GB2312" w:hAnsi="仿宋" w:cs="Times New Roman" w:hint="eastAsia"/>
          <w:bCs/>
          <w:color w:val="auto"/>
          <w:sz w:val="24"/>
          <w:szCs w:val="24"/>
        </w:rPr>
        <w:t>（来源：安徽省教育厅网站）</w:t>
      </w:r>
    </w:p>
    <w:p w:rsidR="00A46230" w:rsidRDefault="00A46230" w:rsidP="00832F46">
      <w:pPr>
        <w:spacing w:line="380" w:lineRule="exact"/>
        <w:ind w:firstLineChars="200" w:firstLine="480"/>
        <w:rPr>
          <w:rStyle w:val="a5"/>
          <w:rFonts w:ascii="仿宋_GB2312" w:eastAsia="仿宋_GB2312" w:hAnsi="仿宋" w:cs="Times New Roman"/>
          <w:bCs/>
          <w:color w:val="auto"/>
          <w:sz w:val="24"/>
          <w:szCs w:val="24"/>
        </w:rPr>
      </w:pPr>
    </w:p>
    <w:p w:rsidR="00A46230" w:rsidRPr="00A46230" w:rsidRDefault="00A46230" w:rsidP="00832F46">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 xml:space="preserve">◆ </w:t>
      </w:r>
      <w:r w:rsidRPr="00A46230">
        <w:rPr>
          <w:rStyle w:val="a5"/>
          <w:rFonts w:ascii="仿宋_GB2312" w:eastAsia="仿宋_GB2312" w:hAnsi="仿宋" w:hint="eastAsia"/>
          <w:b/>
          <w:bCs/>
          <w:color w:val="auto"/>
          <w:sz w:val="24"/>
        </w:rPr>
        <w:t>泰晤士高等教育发布2018世界大学排行榜</w:t>
      </w:r>
    </w:p>
    <w:p w:rsidR="00A46230" w:rsidRDefault="00A46230" w:rsidP="00832F46">
      <w:pPr>
        <w:spacing w:line="380" w:lineRule="exact"/>
        <w:ind w:firstLineChars="200" w:firstLine="480"/>
        <w:rPr>
          <w:rStyle w:val="a5"/>
          <w:rFonts w:ascii="仿宋_GB2312" w:eastAsia="仿宋_GB2312" w:hAnsi="仿宋" w:cs="Times New Roman"/>
          <w:bCs/>
          <w:color w:val="auto"/>
          <w:sz w:val="24"/>
          <w:szCs w:val="24"/>
        </w:rPr>
      </w:pPr>
      <w:r>
        <w:rPr>
          <w:rStyle w:val="a5"/>
          <w:rFonts w:ascii="仿宋_GB2312" w:eastAsia="仿宋_GB2312" w:hAnsi="仿宋" w:cs="Times New Roman" w:hint="eastAsia"/>
          <w:bCs/>
          <w:color w:val="auto"/>
          <w:sz w:val="24"/>
          <w:szCs w:val="24"/>
        </w:rPr>
        <w:t>近日</w:t>
      </w:r>
      <w:r>
        <w:rPr>
          <w:rStyle w:val="a5"/>
          <w:rFonts w:ascii="仿宋_GB2312" w:eastAsia="仿宋_GB2312" w:hAnsi="仿宋" w:cs="Times New Roman"/>
          <w:bCs/>
          <w:color w:val="auto"/>
          <w:sz w:val="24"/>
          <w:szCs w:val="24"/>
        </w:rPr>
        <w:t>，</w:t>
      </w:r>
      <w:r w:rsidRPr="00A46230">
        <w:rPr>
          <w:rStyle w:val="a5"/>
          <w:rFonts w:ascii="仿宋_GB2312" w:eastAsia="仿宋_GB2312" w:hAnsi="仿宋" w:cs="Times New Roman" w:hint="eastAsia"/>
          <w:bCs/>
          <w:color w:val="auto"/>
          <w:sz w:val="24"/>
          <w:szCs w:val="24"/>
        </w:rPr>
        <w:t>泰晤士高等教育正式发布了2018世界大学排行榜，进入榜单1000所高校来自77个不同的国家和地区。其中</w:t>
      </w:r>
      <w:r>
        <w:rPr>
          <w:rStyle w:val="a5"/>
          <w:rFonts w:ascii="仿宋_GB2312" w:eastAsia="仿宋_GB2312" w:hAnsi="仿宋" w:cs="Times New Roman" w:hint="eastAsia"/>
          <w:bCs/>
          <w:color w:val="auto"/>
          <w:sz w:val="24"/>
          <w:szCs w:val="24"/>
        </w:rPr>
        <w:t>我</w:t>
      </w:r>
      <w:r w:rsidRPr="00A46230">
        <w:rPr>
          <w:rStyle w:val="a5"/>
          <w:rFonts w:ascii="仿宋_GB2312" w:eastAsia="仿宋_GB2312" w:hAnsi="仿宋" w:cs="Times New Roman" w:hint="eastAsia"/>
          <w:bCs/>
          <w:color w:val="auto"/>
          <w:sz w:val="24"/>
          <w:szCs w:val="24"/>
        </w:rPr>
        <w:t>国共有93所高校上榜，</w:t>
      </w:r>
      <w:r>
        <w:rPr>
          <w:rStyle w:val="a5"/>
          <w:rFonts w:ascii="仿宋_GB2312" w:eastAsia="仿宋_GB2312" w:hAnsi="仿宋" w:cs="Times New Roman" w:hint="eastAsia"/>
          <w:bCs/>
          <w:color w:val="auto"/>
          <w:sz w:val="24"/>
          <w:szCs w:val="24"/>
        </w:rPr>
        <w:t>内地有</w:t>
      </w:r>
      <w:r w:rsidRPr="00A46230">
        <w:rPr>
          <w:rStyle w:val="a5"/>
          <w:rFonts w:ascii="仿宋_GB2312" w:eastAsia="仿宋_GB2312" w:hAnsi="仿宋" w:cs="Times New Roman" w:hint="eastAsia"/>
          <w:bCs/>
          <w:color w:val="auto"/>
          <w:sz w:val="24"/>
          <w:szCs w:val="24"/>
        </w:rPr>
        <w:t>60所</w:t>
      </w:r>
      <w:r w:rsidR="00832F46">
        <w:rPr>
          <w:rStyle w:val="a5"/>
          <w:rFonts w:ascii="仿宋_GB2312" w:eastAsia="仿宋_GB2312" w:hAnsi="仿宋" w:cs="Times New Roman" w:hint="eastAsia"/>
          <w:bCs/>
          <w:color w:val="auto"/>
          <w:sz w:val="24"/>
          <w:szCs w:val="24"/>
        </w:rPr>
        <w:t>高校</w:t>
      </w:r>
      <w:r>
        <w:rPr>
          <w:rStyle w:val="a5"/>
          <w:rFonts w:ascii="仿宋_GB2312" w:eastAsia="仿宋_GB2312" w:hAnsi="仿宋" w:cs="Times New Roman" w:hint="eastAsia"/>
          <w:bCs/>
          <w:color w:val="auto"/>
          <w:sz w:val="24"/>
          <w:szCs w:val="24"/>
        </w:rPr>
        <w:t>上榜，</w:t>
      </w:r>
      <w:r w:rsidRPr="00A46230">
        <w:rPr>
          <w:rStyle w:val="a5"/>
          <w:rFonts w:ascii="仿宋_GB2312" w:eastAsia="仿宋_GB2312" w:hAnsi="仿宋" w:cs="Times New Roman" w:hint="eastAsia"/>
          <w:bCs/>
          <w:color w:val="auto"/>
          <w:sz w:val="24"/>
          <w:szCs w:val="24"/>
        </w:rPr>
        <w:t>相比2016-2017年，</w:t>
      </w:r>
      <w:r w:rsidR="00841738">
        <w:rPr>
          <w:rStyle w:val="a5"/>
          <w:rFonts w:ascii="仿宋_GB2312" w:eastAsia="仿宋_GB2312" w:hAnsi="仿宋" w:cs="Times New Roman" w:hint="eastAsia"/>
          <w:bCs/>
          <w:color w:val="auto"/>
          <w:sz w:val="24"/>
          <w:szCs w:val="24"/>
        </w:rPr>
        <w:t>内地上榜</w:t>
      </w:r>
      <w:r w:rsidR="00841738">
        <w:rPr>
          <w:rStyle w:val="a5"/>
          <w:rFonts w:ascii="仿宋_GB2312" w:eastAsia="仿宋_GB2312" w:hAnsi="仿宋" w:cs="Times New Roman"/>
          <w:bCs/>
          <w:color w:val="auto"/>
          <w:sz w:val="24"/>
          <w:szCs w:val="24"/>
        </w:rPr>
        <w:t>高校</w:t>
      </w:r>
      <w:r w:rsidRPr="00A46230">
        <w:rPr>
          <w:rStyle w:val="a5"/>
          <w:rFonts w:ascii="仿宋_GB2312" w:eastAsia="仿宋_GB2312" w:hAnsi="仿宋" w:cs="Times New Roman"/>
          <w:bCs/>
          <w:color w:val="auto"/>
          <w:sz w:val="24"/>
          <w:szCs w:val="24"/>
        </w:rPr>
        <w:t>总数</w:t>
      </w:r>
      <w:r w:rsidRPr="00A46230">
        <w:rPr>
          <w:rStyle w:val="a5"/>
          <w:rFonts w:ascii="仿宋_GB2312" w:eastAsia="仿宋_GB2312" w:hAnsi="仿宋" w:cs="Times New Roman" w:hint="eastAsia"/>
          <w:bCs/>
          <w:color w:val="auto"/>
          <w:sz w:val="24"/>
          <w:szCs w:val="24"/>
        </w:rPr>
        <w:t>增加了8所。TOP20高校中，美国高校占据了15所，英国占据了4所，北京大学和清华大学今年排名再创新高，分别位列27和30位。</w:t>
      </w:r>
      <w:r w:rsidR="00832F46" w:rsidRPr="00832F46">
        <w:rPr>
          <w:rStyle w:val="a5"/>
          <w:rFonts w:ascii="仿宋_GB2312" w:eastAsia="仿宋_GB2312" w:hAnsi="仿宋" w:cs="Times New Roman" w:hint="eastAsia"/>
          <w:bCs/>
          <w:color w:val="auto"/>
          <w:sz w:val="24"/>
          <w:szCs w:val="24"/>
        </w:rPr>
        <w:t>其余排名靠前的高校还包括复旦大学、中国科学技术大学、南京大学、浙江大学、上海交通大学、中山大学等</w:t>
      </w:r>
      <w:r w:rsidR="00832F46">
        <w:rPr>
          <w:rStyle w:val="a5"/>
          <w:rFonts w:ascii="仿宋_GB2312" w:eastAsia="仿宋_GB2312" w:hAnsi="仿宋" w:cs="Times New Roman" w:hint="eastAsia"/>
          <w:bCs/>
          <w:color w:val="auto"/>
          <w:sz w:val="24"/>
          <w:szCs w:val="24"/>
        </w:rPr>
        <w:t>，</w:t>
      </w:r>
      <w:r w:rsidR="00832F46" w:rsidRPr="00832F46">
        <w:rPr>
          <w:rStyle w:val="a5"/>
          <w:rFonts w:ascii="仿宋_GB2312" w:eastAsia="仿宋_GB2312" w:hAnsi="仿宋" w:cs="Times New Roman" w:hint="eastAsia"/>
          <w:bCs/>
          <w:color w:val="auto"/>
          <w:sz w:val="24"/>
          <w:szCs w:val="24"/>
        </w:rPr>
        <w:t>不少高校相比去年排名有明显进步。</w:t>
      </w:r>
      <w:r w:rsidR="00F05080">
        <w:rPr>
          <w:rStyle w:val="a5"/>
          <w:rFonts w:ascii="仿宋_GB2312" w:eastAsia="仿宋_GB2312" w:hAnsi="仿宋" w:cs="Times New Roman" w:hint="eastAsia"/>
          <w:bCs/>
          <w:color w:val="auto"/>
          <w:sz w:val="24"/>
          <w:szCs w:val="24"/>
        </w:rPr>
        <w:t xml:space="preserve">  </w:t>
      </w:r>
      <w:r w:rsidR="00F05080">
        <w:rPr>
          <w:rStyle w:val="a5"/>
          <w:rFonts w:ascii="仿宋_GB2312" w:eastAsia="仿宋_GB2312" w:hAnsi="仿宋" w:cs="Times New Roman"/>
          <w:bCs/>
          <w:color w:val="auto"/>
          <w:sz w:val="24"/>
          <w:szCs w:val="24"/>
        </w:rPr>
        <w:t xml:space="preserve">                       </w:t>
      </w:r>
      <w:bookmarkStart w:id="0" w:name="_GoBack"/>
      <w:bookmarkEnd w:id="0"/>
      <w:r w:rsidR="00F05080">
        <w:rPr>
          <w:rStyle w:val="a5"/>
          <w:rFonts w:ascii="仿宋_GB2312" w:eastAsia="仿宋_GB2312" w:hAnsi="仿宋" w:cs="Times New Roman"/>
          <w:bCs/>
          <w:color w:val="auto"/>
          <w:sz w:val="24"/>
          <w:szCs w:val="24"/>
        </w:rPr>
        <w:t xml:space="preserve">    </w:t>
      </w:r>
      <w:r w:rsidR="00F05080" w:rsidRPr="00606B0A">
        <w:rPr>
          <w:rStyle w:val="a5"/>
          <w:rFonts w:ascii="仿宋_GB2312" w:eastAsia="仿宋_GB2312" w:hAnsi="仿宋" w:cs="Times New Roman" w:hint="eastAsia"/>
          <w:bCs/>
          <w:color w:val="auto"/>
          <w:sz w:val="24"/>
          <w:szCs w:val="24"/>
        </w:rPr>
        <w:t>（来源：</w:t>
      </w:r>
      <w:r w:rsidR="00F05080">
        <w:rPr>
          <w:rStyle w:val="a5"/>
          <w:rFonts w:ascii="仿宋_GB2312" w:eastAsia="仿宋_GB2312" w:hAnsi="仿宋" w:cs="Times New Roman" w:hint="eastAsia"/>
          <w:bCs/>
          <w:color w:val="auto"/>
          <w:sz w:val="24"/>
          <w:szCs w:val="24"/>
        </w:rPr>
        <w:t>青塔微信</w:t>
      </w:r>
      <w:r w:rsidR="00F05080">
        <w:rPr>
          <w:rStyle w:val="a5"/>
          <w:rFonts w:ascii="仿宋_GB2312" w:eastAsia="仿宋_GB2312" w:hAnsi="仿宋" w:cs="Times New Roman"/>
          <w:bCs/>
          <w:color w:val="auto"/>
          <w:sz w:val="24"/>
          <w:szCs w:val="24"/>
        </w:rPr>
        <w:t>公众号</w:t>
      </w:r>
      <w:r w:rsidR="00F05080" w:rsidRPr="00606B0A">
        <w:rPr>
          <w:rStyle w:val="a5"/>
          <w:rFonts w:ascii="仿宋_GB2312" w:eastAsia="仿宋_GB2312" w:hAnsi="仿宋" w:cs="Times New Roman" w:hint="eastAsia"/>
          <w:bCs/>
          <w:color w:val="auto"/>
          <w:sz w:val="24"/>
          <w:szCs w:val="24"/>
        </w:rPr>
        <w:t>）</w:t>
      </w:r>
      <w:r w:rsidR="00F05080">
        <w:rPr>
          <w:rStyle w:val="a5"/>
          <w:rFonts w:ascii="仿宋_GB2312" w:eastAsia="仿宋_GB2312" w:hAnsi="仿宋" w:cs="Times New Roman"/>
          <w:bCs/>
          <w:color w:val="auto"/>
          <w:sz w:val="24"/>
          <w:szCs w:val="24"/>
        </w:rPr>
        <w:t xml:space="preserve"> </w:t>
      </w:r>
    </w:p>
    <w:p w:rsidR="009523DB" w:rsidRPr="00606B0A" w:rsidRDefault="009523DB" w:rsidP="00832F46">
      <w:pPr>
        <w:spacing w:line="380" w:lineRule="exact"/>
        <w:ind w:firstLineChars="200" w:firstLine="480"/>
        <w:rPr>
          <w:rStyle w:val="a5"/>
          <w:rFonts w:ascii="仿宋_GB2312" w:eastAsia="仿宋_GB2312" w:hAnsi="仿宋" w:cs="Times New Roman"/>
          <w:bCs/>
          <w:color w:val="auto"/>
          <w:sz w:val="24"/>
          <w:szCs w:val="24"/>
        </w:rPr>
      </w:pPr>
    </w:p>
    <w:p w:rsidR="00B30014" w:rsidRPr="00606B0A" w:rsidRDefault="00B30014" w:rsidP="00832F46">
      <w:pPr>
        <w:widowControl w:val="0"/>
        <w:tabs>
          <w:tab w:val="left" w:pos="7491"/>
        </w:tabs>
        <w:spacing w:beforeLines="50" w:before="190" w:afterLines="50" w:after="190" w:line="380" w:lineRule="exact"/>
        <w:outlineLvl w:val="0"/>
        <w:rPr>
          <w:rFonts w:ascii="黑体" w:eastAsia="黑体" w:hAnsi="黑体"/>
          <w:color w:val="FF0000"/>
          <w:sz w:val="36"/>
          <w:szCs w:val="36"/>
        </w:rPr>
      </w:pPr>
      <w:r w:rsidRPr="00606B0A">
        <w:rPr>
          <w:rFonts w:ascii="黑体" w:eastAsia="黑体" w:hAnsi="黑体" w:hint="eastAsia"/>
          <w:color w:val="FF0000"/>
          <w:sz w:val="36"/>
          <w:szCs w:val="36"/>
        </w:rPr>
        <w:t>【</w:t>
      </w:r>
      <w:r w:rsidR="00F47782">
        <w:rPr>
          <w:rFonts w:ascii="黑体" w:eastAsia="黑体" w:hAnsi="黑体" w:hint="eastAsia"/>
          <w:color w:val="FF0000"/>
          <w:sz w:val="36"/>
          <w:szCs w:val="36"/>
        </w:rPr>
        <w:t>跟踪</w:t>
      </w:r>
      <w:r w:rsidRPr="00606B0A">
        <w:rPr>
          <w:rFonts w:ascii="黑体" w:eastAsia="黑体" w:hAnsi="黑体" w:hint="eastAsia"/>
          <w:color w:val="FF0000"/>
          <w:sz w:val="36"/>
          <w:szCs w:val="36"/>
        </w:rPr>
        <w:t>“双一流”】</w:t>
      </w:r>
    </w:p>
    <w:p w:rsidR="00B30014" w:rsidRPr="00606B0A" w:rsidRDefault="00B30014" w:rsidP="00832F46">
      <w:pPr>
        <w:spacing w:line="36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sidR="00187F4E" w:rsidRPr="00606B0A">
        <w:rPr>
          <w:rStyle w:val="a5"/>
          <w:rFonts w:ascii="仿宋_GB2312" w:eastAsia="仿宋_GB2312" w:hAnsi="仿宋" w:hint="eastAsia"/>
          <w:b/>
          <w:bCs/>
          <w:color w:val="auto"/>
          <w:sz w:val="24"/>
        </w:rPr>
        <w:t xml:space="preserve"> 各地“双一流”建设都有哪些目标？</w:t>
      </w:r>
    </w:p>
    <w:p w:rsidR="00817741" w:rsidRPr="00606B0A" w:rsidRDefault="00817741" w:rsidP="00832F46">
      <w:pPr>
        <w:spacing w:line="360" w:lineRule="exact"/>
        <w:ind w:firstLineChars="200" w:firstLine="482"/>
        <w:rPr>
          <w:rStyle w:val="a5"/>
          <w:rFonts w:ascii="仿宋_GB2312" w:eastAsia="仿宋_GB2312" w:hAnsi="仿宋" w:cs="Times New Roman"/>
          <w:bCs/>
          <w:color w:val="auto"/>
          <w:sz w:val="24"/>
        </w:rPr>
      </w:pPr>
      <w:r w:rsidRPr="00606B0A">
        <w:rPr>
          <w:rStyle w:val="a5"/>
          <w:rFonts w:ascii="仿宋_GB2312" w:eastAsia="仿宋_GB2312" w:hAnsi="仿宋" w:cs="Times New Roman" w:hint="eastAsia"/>
          <w:b/>
          <w:color w:val="auto"/>
          <w:sz w:val="24"/>
          <w:szCs w:val="24"/>
        </w:rPr>
        <w:t>北京市：</w:t>
      </w:r>
      <w:r w:rsidRPr="00606B0A">
        <w:rPr>
          <w:rStyle w:val="a5"/>
          <w:rFonts w:ascii="仿宋_GB2312" w:eastAsia="仿宋_GB2312" w:hAnsi="仿宋" w:cs="Times New Roman" w:hint="eastAsia"/>
          <w:bCs/>
          <w:color w:val="auto"/>
          <w:sz w:val="24"/>
          <w:szCs w:val="24"/>
        </w:rPr>
        <w:t>面向世界科技前沿及国家重大关键技术需求，体现国家创新驱动战略要求，全面整合国内各类创新要素，积极吸纳国际优质创新力量和资源，广聚国际领军创新人才，深入推进协同创新和开放创新，集中力量建设20个左右的高精尖中心，实施50个左右的高精尖项目，力争在重点领域的关键核心技术上取得大的突破，产出一批有影响力的成果，切实解决重大问题，造就一批杰出人才，成为在国内外具有重大影响的科技创新和人才培养基地。</w:t>
      </w:r>
    </w:p>
    <w:p w:rsidR="00817741" w:rsidRPr="00606B0A" w:rsidRDefault="00817741" w:rsidP="00832F46">
      <w:pPr>
        <w:spacing w:line="360" w:lineRule="exact"/>
        <w:ind w:firstLineChars="200" w:firstLine="482"/>
        <w:rPr>
          <w:rStyle w:val="a5"/>
          <w:rFonts w:ascii="仿宋_GB2312" w:eastAsia="仿宋_GB2312" w:hAnsi="仿宋" w:cs="Times New Roman"/>
          <w:bCs/>
          <w:color w:val="auto"/>
          <w:sz w:val="24"/>
        </w:rPr>
      </w:pPr>
      <w:r w:rsidRPr="00606B0A">
        <w:rPr>
          <w:rStyle w:val="a5"/>
          <w:rFonts w:ascii="仿宋_GB2312" w:eastAsia="仿宋_GB2312" w:hAnsi="仿宋" w:cs="Times New Roman" w:hint="eastAsia"/>
          <w:b/>
          <w:color w:val="auto"/>
          <w:sz w:val="24"/>
          <w:szCs w:val="24"/>
        </w:rPr>
        <w:t>上海市：</w:t>
      </w:r>
      <w:r w:rsidRPr="00606B0A">
        <w:rPr>
          <w:rStyle w:val="a5"/>
          <w:rFonts w:ascii="仿宋_GB2312" w:eastAsia="仿宋_GB2312" w:hAnsi="仿宋" w:cs="Times New Roman" w:hint="eastAsia"/>
          <w:bCs/>
          <w:color w:val="auto"/>
          <w:sz w:val="24"/>
          <w:szCs w:val="24"/>
        </w:rPr>
        <w:t>力推进“高峰高原”学科建设计划，到2020年，努力使上海高等学校学科整体实力达到一个新水平，力争20个左右的一级学科点和一批学科方向达到国际一流水平；使180个左右一级学科点跻身国内学科排名前20%，且这些一级学科点中至少有1至2个二级学科或方向达到国际先进、国内一流水平。</w:t>
      </w:r>
      <w:r w:rsidRPr="00606B0A">
        <w:rPr>
          <w:rStyle w:val="a5"/>
          <w:rFonts w:ascii="仿宋_GB2312" w:eastAsia="仿宋_GB2312" w:hAnsi="仿宋" w:cs="Times New Roman"/>
          <w:bCs/>
          <w:color w:val="auto"/>
          <w:sz w:val="24"/>
          <w:szCs w:val="24"/>
        </w:rPr>
        <w:t>分四类高峰学科进行建设</w:t>
      </w:r>
      <w:r w:rsidRPr="00606B0A">
        <w:rPr>
          <w:rStyle w:val="a5"/>
          <w:rFonts w:ascii="仿宋_GB2312" w:eastAsia="仿宋_GB2312" w:hAnsi="仿宋" w:cs="Times New Roman" w:hint="eastAsia"/>
          <w:bCs/>
          <w:color w:val="auto"/>
          <w:sz w:val="24"/>
          <w:szCs w:val="24"/>
        </w:rPr>
        <w:t>，其中</w:t>
      </w:r>
      <w:r w:rsidRPr="00606B0A">
        <w:rPr>
          <w:rStyle w:val="a5"/>
          <w:rFonts w:ascii="仿宋_GB2312" w:eastAsia="仿宋_GB2312" w:hAnsi="仿宋" w:cs="Times New Roman"/>
          <w:bCs/>
          <w:color w:val="auto"/>
          <w:sz w:val="24"/>
          <w:szCs w:val="24"/>
        </w:rPr>
        <w:t>Ⅰ</w:t>
      </w:r>
      <w:r w:rsidRPr="00606B0A">
        <w:rPr>
          <w:rStyle w:val="a5"/>
          <w:rFonts w:ascii="仿宋_GB2312" w:eastAsia="仿宋_GB2312" w:hAnsi="仿宋" w:cs="Times New Roman"/>
          <w:bCs/>
          <w:color w:val="auto"/>
          <w:sz w:val="24"/>
          <w:szCs w:val="24"/>
        </w:rPr>
        <w:t>类高峰学科21个，</w:t>
      </w:r>
      <w:r w:rsidRPr="00606B0A">
        <w:rPr>
          <w:rStyle w:val="a5"/>
          <w:rFonts w:ascii="仿宋_GB2312" w:eastAsia="仿宋_GB2312" w:hAnsi="仿宋" w:cs="Times New Roman"/>
          <w:bCs/>
          <w:color w:val="auto"/>
          <w:sz w:val="24"/>
          <w:szCs w:val="24"/>
        </w:rPr>
        <w:t>Ⅱ</w:t>
      </w:r>
      <w:r w:rsidRPr="00606B0A">
        <w:rPr>
          <w:rStyle w:val="a5"/>
          <w:rFonts w:ascii="仿宋_GB2312" w:eastAsia="仿宋_GB2312" w:hAnsi="仿宋" w:cs="Times New Roman"/>
          <w:bCs/>
          <w:color w:val="auto"/>
          <w:sz w:val="24"/>
          <w:szCs w:val="24"/>
        </w:rPr>
        <w:t>类高峰学科</w:t>
      </w:r>
      <w:r w:rsidRPr="00606B0A">
        <w:rPr>
          <w:rStyle w:val="a5"/>
          <w:rFonts w:ascii="仿宋_GB2312" w:eastAsia="仿宋_GB2312" w:hAnsi="仿宋" w:cs="Times New Roman" w:hint="eastAsia"/>
          <w:bCs/>
          <w:color w:val="auto"/>
          <w:sz w:val="24"/>
          <w:szCs w:val="24"/>
        </w:rPr>
        <w:t>11个，</w:t>
      </w:r>
      <w:r w:rsidRPr="00606B0A">
        <w:rPr>
          <w:rStyle w:val="a5"/>
          <w:rFonts w:ascii="仿宋_GB2312" w:eastAsia="仿宋_GB2312" w:hAnsi="仿宋" w:cs="Times New Roman"/>
          <w:bCs/>
          <w:color w:val="auto"/>
          <w:sz w:val="24"/>
          <w:szCs w:val="24"/>
        </w:rPr>
        <w:t>Ⅲ</w:t>
      </w:r>
      <w:r w:rsidRPr="00606B0A">
        <w:rPr>
          <w:rStyle w:val="a5"/>
          <w:rFonts w:ascii="仿宋_GB2312" w:eastAsia="仿宋_GB2312" w:hAnsi="仿宋" w:cs="Times New Roman"/>
          <w:bCs/>
          <w:color w:val="auto"/>
          <w:sz w:val="24"/>
          <w:szCs w:val="24"/>
        </w:rPr>
        <w:t>类高峰学科</w:t>
      </w:r>
      <w:r w:rsidRPr="00606B0A">
        <w:rPr>
          <w:rStyle w:val="a5"/>
          <w:rFonts w:ascii="仿宋_GB2312" w:eastAsia="仿宋_GB2312" w:hAnsi="仿宋" w:cs="Times New Roman" w:hint="eastAsia"/>
          <w:bCs/>
          <w:color w:val="auto"/>
          <w:sz w:val="24"/>
          <w:szCs w:val="24"/>
        </w:rPr>
        <w:t>22个，</w:t>
      </w:r>
      <w:r w:rsidRPr="00606B0A">
        <w:rPr>
          <w:rStyle w:val="a5"/>
          <w:rFonts w:ascii="仿宋_GB2312" w:eastAsia="仿宋_GB2312" w:hAnsi="仿宋" w:cs="Times New Roman"/>
          <w:bCs/>
          <w:color w:val="auto"/>
          <w:sz w:val="24"/>
          <w:szCs w:val="24"/>
        </w:rPr>
        <w:t>Ⅳ</w:t>
      </w:r>
      <w:r w:rsidRPr="00606B0A">
        <w:rPr>
          <w:rStyle w:val="a5"/>
          <w:rFonts w:ascii="仿宋_GB2312" w:eastAsia="仿宋_GB2312" w:hAnsi="仿宋" w:cs="Times New Roman"/>
          <w:bCs/>
          <w:color w:val="auto"/>
          <w:sz w:val="24"/>
          <w:szCs w:val="24"/>
        </w:rPr>
        <w:t>类高峰学科</w:t>
      </w:r>
      <w:r w:rsidRPr="00606B0A">
        <w:rPr>
          <w:rStyle w:val="a5"/>
          <w:rFonts w:ascii="仿宋_GB2312" w:eastAsia="仿宋_GB2312" w:hAnsi="仿宋" w:cs="Times New Roman" w:hint="eastAsia"/>
          <w:bCs/>
          <w:color w:val="auto"/>
          <w:sz w:val="24"/>
          <w:szCs w:val="24"/>
        </w:rPr>
        <w:t>32个</w:t>
      </w:r>
      <w:r w:rsidRPr="00606B0A">
        <w:rPr>
          <w:rStyle w:val="a5"/>
          <w:rFonts w:ascii="仿宋_GB2312" w:eastAsia="仿宋_GB2312" w:hAnsi="仿宋" w:cs="Times New Roman"/>
          <w:bCs/>
          <w:color w:val="auto"/>
          <w:sz w:val="24"/>
          <w:szCs w:val="24"/>
        </w:rPr>
        <w:tab/>
      </w:r>
    </w:p>
    <w:p w:rsidR="00817741" w:rsidRPr="00606B0A" w:rsidRDefault="00817741" w:rsidP="00832F46">
      <w:pPr>
        <w:spacing w:line="360" w:lineRule="exact"/>
        <w:ind w:firstLineChars="200" w:firstLine="482"/>
        <w:rPr>
          <w:rStyle w:val="a5"/>
          <w:rFonts w:ascii="仿宋_GB2312" w:eastAsia="仿宋_GB2312" w:hAnsi="仿宋" w:cs="Times New Roman"/>
          <w:color w:val="auto"/>
          <w:sz w:val="24"/>
          <w:szCs w:val="24"/>
        </w:rPr>
      </w:pPr>
      <w:r w:rsidRPr="00606B0A">
        <w:rPr>
          <w:rStyle w:val="a5"/>
          <w:rFonts w:ascii="仿宋_GB2312" w:eastAsia="仿宋_GB2312" w:hAnsi="仿宋" w:cs="Times New Roman" w:hint="eastAsia"/>
          <w:b/>
          <w:color w:val="auto"/>
          <w:sz w:val="24"/>
          <w:szCs w:val="24"/>
        </w:rPr>
        <w:t>江苏省：</w:t>
      </w:r>
      <w:r w:rsidRPr="00606B0A">
        <w:rPr>
          <w:rStyle w:val="a5"/>
          <w:rFonts w:ascii="仿宋_GB2312" w:eastAsia="仿宋_GB2312" w:hAnsi="仿宋" w:cs="Times New Roman" w:hint="eastAsia"/>
          <w:bCs/>
          <w:color w:val="auto"/>
          <w:sz w:val="24"/>
          <w:szCs w:val="24"/>
        </w:rPr>
        <w:t>到2020年，15所以上高校进入全国百强，100个左右学科进入基本科学指标数据库全球同类学科前1%；进入国家层面一流学科建设行列的学科数，不低于全国总数的10%。到2030年，建成在全国具有重要影响的高等教育强省，支持2所左右大学和一批学科进入世界一流行列。建设支持对象为：“四大专项”建设高校，综合办学水平进入或接近全国百强的省属高校，入选国家“双一流”建设行列的高校。</w:t>
      </w:r>
    </w:p>
    <w:p w:rsidR="00817741" w:rsidRPr="00606B0A" w:rsidRDefault="00817741" w:rsidP="00832F46">
      <w:pPr>
        <w:spacing w:line="360" w:lineRule="exact"/>
        <w:ind w:firstLineChars="200" w:firstLine="482"/>
        <w:rPr>
          <w:rStyle w:val="a5"/>
          <w:rFonts w:ascii="仿宋_GB2312" w:eastAsia="仿宋_GB2312" w:hAnsi="仿宋" w:cs="Times New Roman"/>
          <w:bCs/>
          <w:color w:val="auto"/>
          <w:sz w:val="24"/>
        </w:rPr>
      </w:pPr>
      <w:r w:rsidRPr="00606B0A">
        <w:rPr>
          <w:rStyle w:val="a5"/>
          <w:rFonts w:ascii="仿宋_GB2312" w:eastAsia="仿宋_GB2312" w:hAnsi="仿宋" w:cs="Times New Roman" w:hint="eastAsia"/>
          <w:b/>
          <w:color w:val="auto"/>
          <w:sz w:val="24"/>
          <w:szCs w:val="24"/>
        </w:rPr>
        <w:t>安徽省：</w:t>
      </w:r>
      <w:r w:rsidRPr="00606B0A">
        <w:rPr>
          <w:rStyle w:val="a5"/>
          <w:rFonts w:ascii="仿宋_GB2312" w:eastAsia="仿宋_GB2312" w:hAnsi="仿宋" w:cs="Times New Roman" w:hint="eastAsia"/>
          <w:bCs/>
          <w:color w:val="auto"/>
          <w:sz w:val="24"/>
          <w:szCs w:val="24"/>
        </w:rPr>
        <w:t>到2020年，重点建设8所左右特色高水平大学和一批优势特色学科专业，达到国内一流水平；重点建设10所左右应用型高水平大学和一批品牌应用型专业，达到国内一流水平。支持中国科学技术大学建设世界一流大学，支持合肥工业大学、安徽大学等高校建设若干世界一流学科。建设地方特色高水平大学、地方应用型高水平大学、地方技能型高水平大学，支持各高校在各自的类型和定位上办出特色，争创一流。</w:t>
      </w:r>
    </w:p>
    <w:p w:rsidR="00817741" w:rsidRPr="00606B0A" w:rsidRDefault="00817741" w:rsidP="00832F46">
      <w:pPr>
        <w:spacing w:line="360" w:lineRule="exact"/>
        <w:ind w:firstLineChars="200" w:firstLine="482"/>
        <w:rPr>
          <w:rStyle w:val="a5"/>
          <w:rFonts w:ascii="仿宋_GB2312" w:eastAsia="仿宋_GB2312" w:hAnsi="仿宋" w:cs="Times New Roman"/>
          <w:bCs/>
          <w:color w:val="auto"/>
          <w:sz w:val="24"/>
        </w:rPr>
      </w:pPr>
      <w:r w:rsidRPr="00606B0A">
        <w:rPr>
          <w:rStyle w:val="a5"/>
          <w:rFonts w:ascii="仿宋_GB2312" w:eastAsia="仿宋_GB2312" w:hAnsi="仿宋" w:cs="Times New Roman" w:hint="eastAsia"/>
          <w:b/>
          <w:color w:val="auto"/>
          <w:sz w:val="24"/>
          <w:szCs w:val="24"/>
        </w:rPr>
        <w:t>山东省：</w:t>
      </w:r>
      <w:r w:rsidRPr="00606B0A">
        <w:rPr>
          <w:rStyle w:val="a5"/>
          <w:rFonts w:ascii="仿宋_GB2312" w:eastAsia="仿宋_GB2312" w:hAnsi="仿宋" w:cs="Times New Roman" w:hint="eastAsia"/>
          <w:bCs/>
          <w:color w:val="auto"/>
          <w:sz w:val="24"/>
          <w:szCs w:val="24"/>
        </w:rPr>
        <w:t>以5年为一个建设周期，以学科建设为支撑，积极支持山东大学、中国海洋大学、石油大学等驻鲁部属高校进入国家“双一流”建设工程，积极支持省属高校的一批重点学科争创一流。力争到2020年，驻鲁高校（包括部属和省属）有50个左右学科（其中省属高校有20个左右学科）进入基本科学指标数据库（EssentialScienceIndicators，简称ESI）学科排名前1%，并实现进入1‰的突破。</w:t>
      </w:r>
    </w:p>
    <w:p w:rsidR="00817741" w:rsidRPr="00606B0A" w:rsidRDefault="00817741" w:rsidP="00832F46">
      <w:pPr>
        <w:spacing w:line="360" w:lineRule="exact"/>
        <w:ind w:firstLineChars="200" w:firstLine="482"/>
        <w:rPr>
          <w:rStyle w:val="a5"/>
          <w:rFonts w:ascii="仿宋_GB2312" w:eastAsia="仿宋_GB2312" w:hAnsi="仿宋" w:cs="Times New Roman"/>
          <w:bCs/>
          <w:color w:val="auto"/>
          <w:sz w:val="24"/>
        </w:rPr>
      </w:pPr>
      <w:r w:rsidRPr="00606B0A">
        <w:rPr>
          <w:rStyle w:val="a5"/>
          <w:rFonts w:ascii="仿宋_GB2312" w:eastAsia="仿宋_GB2312" w:hAnsi="仿宋" w:cs="Times New Roman" w:hint="eastAsia"/>
          <w:b/>
          <w:color w:val="auto"/>
          <w:sz w:val="24"/>
          <w:szCs w:val="24"/>
        </w:rPr>
        <w:t>四川省：</w:t>
      </w:r>
      <w:r w:rsidRPr="00606B0A">
        <w:rPr>
          <w:rStyle w:val="a5"/>
          <w:rFonts w:ascii="仿宋_GB2312" w:eastAsia="仿宋_GB2312" w:hAnsi="仿宋" w:cs="Times New Roman" w:hint="eastAsia"/>
          <w:bCs/>
          <w:color w:val="auto"/>
          <w:sz w:val="24"/>
          <w:szCs w:val="24"/>
        </w:rPr>
        <w:t>重点建设300个左右“一流学科、优势特色学科”。主要体现三个层次：第一层次学科（世界一流学科）：力争建设30个左右学科具有全球竞争力、影响力的学科；第二层次学科（国内一流优势学科）：力争建设100个左右优势学科具有全国竞争力、影响力的学科。第三层次学科（区域一流特色学科及高端新型智库）：建设100个左右特色学科紧密契合、重点支撑四川产业结构升级、创新发展重大需求的学科。</w:t>
      </w:r>
    </w:p>
    <w:p w:rsidR="00817741" w:rsidRPr="00606B0A" w:rsidRDefault="00817741" w:rsidP="00832F46">
      <w:pPr>
        <w:spacing w:line="360" w:lineRule="exact"/>
        <w:ind w:firstLineChars="200" w:firstLine="482"/>
        <w:rPr>
          <w:rStyle w:val="a5"/>
          <w:rFonts w:ascii="仿宋_GB2312" w:eastAsia="仿宋_GB2312" w:hAnsi="仿宋" w:cs="Times New Roman"/>
          <w:bCs/>
          <w:color w:val="auto"/>
          <w:sz w:val="24"/>
        </w:rPr>
      </w:pPr>
      <w:r w:rsidRPr="00606B0A">
        <w:rPr>
          <w:rStyle w:val="a5"/>
          <w:rFonts w:ascii="仿宋_GB2312" w:eastAsia="仿宋_GB2312" w:hAnsi="仿宋" w:cs="Times New Roman" w:hint="eastAsia"/>
          <w:b/>
          <w:color w:val="auto"/>
          <w:sz w:val="24"/>
          <w:szCs w:val="24"/>
        </w:rPr>
        <w:t>广东省：</w:t>
      </w:r>
      <w:r w:rsidRPr="00606B0A">
        <w:rPr>
          <w:rStyle w:val="a5"/>
          <w:rFonts w:ascii="仿宋_GB2312" w:eastAsia="仿宋_GB2312" w:hAnsi="仿宋" w:cs="Times New Roman" w:hint="eastAsia"/>
          <w:bCs/>
          <w:color w:val="auto"/>
          <w:sz w:val="24"/>
          <w:szCs w:val="24"/>
        </w:rPr>
        <w:t>到2030年，重点建设高校和重点建设项目总体上实现国内一流、世界知名，并带动全省高等学校整体办学水平大幅提升，建成高等教育强省。整体建设高校包括中山大学、华南理工大学、暨南大学、华南农业大学、南方医科大学、华南师范大学、广东工业大学。该省</w:t>
      </w:r>
      <w:r w:rsidRPr="00606B0A">
        <w:rPr>
          <w:rStyle w:val="a5"/>
          <w:rFonts w:ascii="仿宋_GB2312" w:eastAsia="仿宋_GB2312" w:hAnsi="仿宋" w:cs="Times New Roman" w:hint="eastAsia"/>
          <w:color w:val="auto"/>
          <w:sz w:val="24"/>
          <w:szCs w:val="24"/>
        </w:rPr>
        <w:t>重点学科建设项目共计18项。</w:t>
      </w:r>
    </w:p>
    <w:p w:rsidR="00043277" w:rsidRPr="00606B0A" w:rsidRDefault="00043277" w:rsidP="00832F46">
      <w:pPr>
        <w:spacing w:line="360" w:lineRule="exact"/>
        <w:ind w:firstLineChars="200" w:firstLine="482"/>
        <w:rPr>
          <w:rStyle w:val="a5"/>
          <w:rFonts w:ascii="仿宋_GB2312" w:eastAsia="仿宋_GB2312" w:hAnsi="仿宋" w:cs="Times New Roman"/>
          <w:bCs/>
          <w:color w:val="auto"/>
          <w:sz w:val="24"/>
        </w:rPr>
      </w:pPr>
      <w:r w:rsidRPr="00606B0A">
        <w:rPr>
          <w:rStyle w:val="a5"/>
          <w:rFonts w:ascii="仿宋_GB2312" w:eastAsia="仿宋_GB2312" w:hAnsi="仿宋" w:cs="Times New Roman" w:hint="eastAsia"/>
          <w:b/>
          <w:color w:val="auto"/>
          <w:sz w:val="24"/>
          <w:szCs w:val="24"/>
        </w:rPr>
        <w:t>广西省：</w:t>
      </w:r>
      <w:r w:rsidRPr="00606B0A">
        <w:rPr>
          <w:rStyle w:val="a5"/>
          <w:rFonts w:ascii="仿宋_GB2312" w:eastAsia="仿宋_GB2312" w:hAnsi="仿宋" w:cs="Times New Roman" w:hint="eastAsia"/>
          <w:bCs/>
          <w:color w:val="auto"/>
          <w:sz w:val="24"/>
          <w:szCs w:val="24"/>
        </w:rPr>
        <w:t>到本世纪中叶，广西一流大学的整体水平和一流学科的数量与实力均进入中西部地区前列，广西高等教育在人才培养、科学研究、社会服务、文化传承创新和国际交流合作中的综合实力全面提升，基本形成与广西经济社会发展相匹配的高等教育体系。</w:t>
      </w:r>
    </w:p>
    <w:p w:rsidR="00817741" w:rsidRPr="00606B0A" w:rsidRDefault="00817741" w:rsidP="00832F46">
      <w:pPr>
        <w:spacing w:line="360" w:lineRule="exact"/>
        <w:ind w:firstLineChars="200" w:firstLine="482"/>
        <w:rPr>
          <w:rStyle w:val="a5"/>
          <w:rFonts w:ascii="仿宋_GB2312" w:eastAsia="仿宋_GB2312" w:hAnsi="仿宋" w:cs="Times New Roman"/>
          <w:bCs/>
          <w:color w:val="auto"/>
          <w:sz w:val="24"/>
        </w:rPr>
      </w:pPr>
      <w:r w:rsidRPr="00606B0A">
        <w:rPr>
          <w:rStyle w:val="a5"/>
          <w:rFonts w:ascii="仿宋_GB2312" w:eastAsia="仿宋_GB2312" w:hAnsi="仿宋" w:cs="Times New Roman" w:hint="eastAsia"/>
          <w:b/>
          <w:color w:val="auto"/>
          <w:sz w:val="24"/>
          <w:szCs w:val="24"/>
        </w:rPr>
        <w:t>陕西省：</w:t>
      </w:r>
      <w:r w:rsidRPr="00606B0A">
        <w:rPr>
          <w:rStyle w:val="a5"/>
          <w:rFonts w:ascii="仿宋_GB2312" w:eastAsia="仿宋_GB2312" w:hAnsi="仿宋" w:cs="Times New Roman" w:hint="eastAsia"/>
          <w:bCs/>
          <w:color w:val="auto"/>
          <w:sz w:val="24"/>
          <w:szCs w:val="24"/>
        </w:rPr>
        <w:t>在教学名师、优秀教材、精品课程、MOOC、教学改革研究、教学成果奖等教学项目中，支持部属高校项目培育与建设。在实验教学示范中心、虚拟仿真实验教学中心等方面，支持部属高校教学基础条件建设。加大对部属高校在实施大学生创新创业训练计划、建设创新创业教育改革试点学院、争创创新创业教育改革示范高校等方面的支持力度。探索设立研究生教育综合改革、研究生优秀课程和研究生优秀导师奖项，在现有优秀教学成果奖中增加研究生教学成果奖项，支持部属高校提升高层次拔尖创新人才培养能力。继续开展省级优秀博士学位论文评选工作，促进部属高校研究生培养质量的不断提高。支持部属高校对博士、硕士学位授权点进行动态调整，积极支持增加研究生招生计划。</w:t>
      </w:r>
    </w:p>
    <w:p w:rsidR="00043277" w:rsidRPr="009262FA" w:rsidRDefault="00462F0C" w:rsidP="00832F46">
      <w:pPr>
        <w:spacing w:line="360" w:lineRule="exact"/>
        <w:ind w:firstLineChars="1700" w:firstLine="4080"/>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bCs/>
          <w:color w:val="auto"/>
          <w:sz w:val="24"/>
          <w:szCs w:val="24"/>
        </w:rPr>
        <w:t xml:space="preserve">          </w:t>
      </w:r>
      <w:r w:rsidRPr="00606B0A">
        <w:rPr>
          <w:rStyle w:val="a5"/>
          <w:rFonts w:ascii="仿宋_GB2312" w:eastAsia="仿宋_GB2312" w:hAnsi="仿宋" w:cs="Times New Roman" w:hint="eastAsia"/>
          <w:bCs/>
          <w:color w:val="auto"/>
          <w:sz w:val="24"/>
          <w:szCs w:val="24"/>
        </w:rPr>
        <w:t>（来源：中国社会科学网）</w:t>
      </w:r>
    </w:p>
    <w:p w:rsidR="00666C8F" w:rsidRPr="00606B0A" w:rsidRDefault="00666C8F" w:rsidP="00832F46">
      <w:pPr>
        <w:widowControl w:val="0"/>
        <w:tabs>
          <w:tab w:val="left" w:pos="7491"/>
        </w:tabs>
        <w:spacing w:beforeLines="50" w:before="190" w:afterLines="50" w:after="190" w:line="380" w:lineRule="exact"/>
        <w:outlineLvl w:val="0"/>
        <w:rPr>
          <w:rFonts w:ascii="黑体" w:eastAsia="黑体" w:hAnsi="黑体"/>
          <w:color w:val="FF0000"/>
          <w:sz w:val="36"/>
          <w:szCs w:val="36"/>
        </w:rPr>
      </w:pPr>
      <w:r w:rsidRPr="00606B0A">
        <w:rPr>
          <w:rFonts w:ascii="黑体" w:eastAsia="黑体" w:hAnsi="黑体" w:hint="eastAsia"/>
          <w:color w:val="FF0000"/>
          <w:sz w:val="36"/>
          <w:szCs w:val="36"/>
        </w:rPr>
        <w:t>【</w:t>
      </w:r>
      <w:r w:rsidR="00D35619" w:rsidRPr="00606B0A">
        <w:rPr>
          <w:rFonts w:ascii="黑体" w:eastAsia="黑体" w:hAnsi="黑体" w:hint="eastAsia"/>
          <w:color w:val="FF0000"/>
          <w:sz w:val="36"/>
          <w:szCs w:val="36"/>
        </w:rPr>
        <w:t>地方</w:t>
      </w:r>
      <w:r w:rsidRPr="00606B0A">
        <w:rPr>
          <w:rFonts w:ascii="黑体" w:eastAsia="黑体" w:hAnsi="黑体" w:hint="eastAsia"/>
          <w:color w:val="FF0000"/>
          <w:sz w:val="36"/>
          <w:szCs w:val="36"/>
        </w:rPr>
        <w:t>实践】</w:t>
      </w:r>
    </w:p>
    <w:p w:rsidR="00D57D6F" w:rsidRPr="00606B0A" w:rsidRDefault="00D57D6F" w:rsidP="00832F46">
      <w:pPr>
        <w:spacing w:line="36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 江苏省：加快推进高校科技体制改革</w:t>
      </w:r>
    </w:p>
    <w:p w:rsidR="00D57D6F" w:rsidRPr="00606B0A" w:rsidRDefault="00D57D6F" w:rsidP="00832F46">
      <w:pPr>
        <w:spacing w:line="360" w:lineRule="exact"/>
        <w:ind w:firstLineChars="200" w:firstLine="482"/>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
          <w:bCs/>
          <w:color w:val="auto"/>
          <w:sz w:val="24"/>
          <w:szCs w:val="24"/>
        </w:rPr>
        <w:t>不断优化科技创新创业环境。</w:t>
      </w:r>
      <w:r w:rsidRPr="00606B0A">
        <w:rPr>
          <w:rStyle w:val="a5"/>
          <w:rFonts w:ascii="仿宋_GB2312" w:eastAsia="仿宋_GB2312" w:hAnsi="仿宋" w:cs="Times New Roman" w:hint="eastAsia"/>
          <w:bCs/>
          <w:color w:val="auto"/>
          <w:sz w:val="24"/>
          <w:szCs w:val="24"/>
        </w:rPr>
        <w:t>制定和完善适合实际的管理办法，推动科技体制机制改革各项政策措施落地生效。营造良好创新创业制度环境，赋予创新人才和团队更大科研自主权，支持科研人员在职创业、离岗创业，鼓励高校学生创新创业。进一步完善科研评价机制，在岗位设置、选拔聘用、发展晋升、考核评价、薪酬待遇等方面充分考虑科研人员创新创业成果及其社会贡献。</w:t>
      </w:r>
    </w:p>
    <w:p w:rsidR="00D57D6F" w:rsidRPr="00606B0A" w:rsidRDefault="00D57D6F" w:rsidP="00832F46">
      <w:pPr>
        <w:spacing w:line="360" w:lineRule="exact"/>
        <w:ind w:firstLineChars="200" w:firstLine="482"/>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
          <w:bCs/>
          <w:color w:val="auto"/>
          <w:sz w:val="24"/>
          <w:szCs w:val="24"/>
        </w:rPr>
        <w:t>深入推进科研经费管理改革。</w:t>
      </w:r>
      <w:r w:rsidRPr="00606B0A">
        <w:rPr>
          <w:rStyle w:val="a5"/>
          <w:rFonts w:ascii="仿宋_GB2312" w:eastAsia="仿宋_GB2312" w:hAnsi="仿宋" w:cs="Times New Roman" w:hint="eastAsia"/>
          <w:bCs/>
          <w:color w:val="auto"/>
          <w:sz w:val="24"/>
          <w:szCs w:val="24"/>
        </w:rPr>
        <w:t>按照规范科研经费管理、增加经费使用自主权、激发创新活力的改革要求，针对科研经费管理的薄弱环节，出台项目预算编制、预算执行、预算调整、间接费用、结余经费、科研绩效、科研差旅等管理办法，提高资金使用效益。探索建立科研财务助理制度。</w:t>
      </w:r>
    </w:p>
    <w:p w:rsidR="00D57D6F" w:rsidRPr="00606B0A" w:rsidRDefault="00D57D6F" w:rsidP="00832F46">
      <w:pPr>
        <w:spacing w:line="360" w:lineRule="exact"/>
        <w:ind w:firstLineChars="200" w:firstLine="482"/>
        <w:rPr>
          <w:rStyle w:val="a5"/>
          <w:rFonts w:ascii="仿宋_GB2312" w:eastAsia="仿宋_GB2312" w:hAnsi="仿宋" w:cs="Times New Roman"/>
          <w:bCs/>
          <w:color w:val="auto"/>
          <w:sz w:val="24"/>
        </w:rPr>
      </w:pPr>
      <w:r w:rsidRPr="00606B0A">
        <w:rPr>
          <w:rStyle w:val="a5"/>
          <w:rFonts w:ascii="仿宋_GB2312" w:eastAsia="仿宋_GB2312" w:hAnsi="仿宋" w:cs="Times New Roman" w:hint="eastAsia"/>
          <w:b/>
          <w:color w:val="auto"/>
          <w:sz w:val="24"/>
        </w:rPr>
        <w:t>扎实推进协同创新中心建设。</w:t>
      </w:r>
      <w:r w:rsidRPr="00606B0A">
        <w:rPr>
          <w:rStyle w:val="a5"/>
          <w:rFonts w:ascii="仿宋_GB2312" w:eastAsia="仿宋_GB2312" w:hAnsi="仿宋" w:cs="Times New Roman" w:hint="eastAsia"/>
          <w:bCs/>
          <w:color w:val="auto"/>
          <w:sz w:val="24"/>
        </w:rPr>
        <w:t>将协同创新中心建设摆在优先发展的位置，加大政策支持力度，创新评聘机制、考核机制、薪酬机制和绩效奖励机制。指导高校与协同单位合作统筹开展项目攻关，打造全过程融合共建、协同增效的合作模式，面向行业区域发展需求，与创新产业链下游主体对接，开展科技成果工程化、产业化、市场化的研究与应用。</w:t>
      </w:r>
    </w:p>
    <w:p w:rsidR="00D57D6F" w:rsidRPr="00606B0A" w:rsidRDefault="00D57D6F" w:rsidP="00832F46">
      <w:pPr>
        <w:spacing w:line="360" w:lineRule="exact"/>
        <w:ind w:firstLineChars="200" w:firstLine="482"/>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
          <w:color w:val="auto"/>
          <w:sz w:val="24"/>
        </w:rPr>
        <w:t>完善科技成果转移转化体系。</w:t>
      </w:r>
      <w:r w:rsidRPr="00606B0A">
        <w:rPr>
          <w:rStyle w:val="a5"/>
          <w:rFonts w:ascii="仿宋_GB2312" w:eastAsia="仿宋_GB2312" w:hAnsi="仿宋" w:cs="Times New Roman" w:hint="eastAsia"/>
          <w:bCs/>
          <w:color w:val="auto"/>
          <w:sz w:val="24"/>
        </w:rPr>
        <w:t xml:space="preserve">本科高校均设立了科技成果转移转化中心，加强成果转化人员培养培训，完善科技中介服务体系，加大与市场化第三方技术转移机构在信息、人才、孵化空间、技术转移平台载体等方面的共享、共建力度。完善高校科技融资举措，加强高校知识产权管理与保护制度建设，加大对高校发明专利和国际专利扶持力度。指导高校建立健全科技成果处置、使用和收益分配改革制度，完善科技成果转化个人奖励约定。 </w:t>
      </w:r>
      <w:r w:rsidR="00BB5BE0" w:rsidRPr="00606B0A">
        <w:rPr>
          <w:rStyle w:val="a5"/>
          <w:rFonts w:ascii="仿宋_GB2312" w:eastAsia="仿宋_GB2312" w:hAnsi="仿宋" w:cs="Times New Roman"/>
          <w:bCs/>
          <w:color w:val="auto"/>
          <w:sz w:val="24"/>
        </w:rPr>
        <w:t xml:space="preserve"> </w:t>
      </w:r>
      <w:r w:rsidRPr="00606B0A">
        <w:rPr>
          <w:rStyle w:val="a5"/>
          <w:rFonts w:ascii="仿宋_GB2312" w:eastAsia="仿宋_GB2312" w:hAnsi="仿宋" w:cs="Times New Roman" w:hint="eastAsia"/>
          <w:bCs/>
          <w:color w:val="auto"/>
          <w:sz w:val="24"/>
        </w:rPr>
        <w:t xml:space="preserve"> </w:t>
      </w:r>
      <w:r w:rsidRPr="00606B0A">
        <w:rPr>
          <w:rStyle w:val="a5"/>
          <w:rFonts w:ascii="仿宋_GB2312" w:eastAsia="仿宋_GB2312" w:hAnsi="仿宋" w:cs="Times New Roman"/>
          <w:bCs/>
          <w:color w:val="auto"/>
          <w:sz w:val="24"/>
        </w:rPr>
        <w:t xml:space="preserve"> </w:t>
      </w:r>
      <w:r w:rsidRPr="00606B0A">
        <w:rPr>
          <w:rStyle w:val="a5"/>
          <w:rFonts w:ascii="仿宋_GB2312" w:eastAsia="仿宋_GB2312" w:hAnsi="仿宋" w:cs="Times New Roman"/>
          <w:bCs/>
          <w:color w:val="auto"/>
          <w:sz w:val="24"/>
          <w:szCs w:val="24"/>
        </w:rPr>
        <w:t>（来源：江苏省教育厅）</w:t>
      </w:r>
    </w:p>
    <w:p w:rsidR="00D57D6F" w:rsidRPr="00606B0A" w:rsidRDefault="00D57D6F" w:rsidP="00832F46">
      <w:pPr>
        <w:spacing w:line="360" w:lineRule="exact"/>
        <w:ind w:firstLineChars="200" w:firstLine="480"/>
        <w:rPr>
          <w:rStyle w:val="a5"/>
          <w:rFonts w:ascii="仿宋_GB2312" w:eastAsia="仿宋_GB2312" w:hAnsi="仿宋" w:cs="Times New Roman"/>
          <w:bCs/>
          <w:color w:val="auto"/>
          <w:sz w:val="24"/>
          <w:szCs w:val="24"/>
        </w:rPr>
      </w:pPr>
    </w:p>
    <w:p w:rsidR="00D57D6F" w:rsidRPr="00606B0A" w:rsidRDefault="00D57D6F" w:rsidP="00832F46">
      <w:pPr>
        <w:spacing w:line="36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 浙江省：力补“短板”，提速高等教育</w:t>
      </w:r>
    </w:p>
    <w:p w:rsidR="00F417D7" w:rsidRPr="00606B0A" w:rsidRDefault="00F417D7" w:rsidP="00832F46">
      <w:pPr>
        <w:spacing w:line="360" w:lineRule="exact"/>
        <w:ind w:firstLineChars="200" w:firstLine="480"/>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bCs/>
          <w:color w:val="auto"/>
          <w:sz w:val="24"/>
          <w:szCs w:val="24"/>
        </w:rPr>
        <w:t>高等教育是浙江的一块</w:t>
      </w:r>
      <w:r w:rsidRPr="00606B0A">
        <w:rPr>
          <w:rStyle w:val="a5"/>
          <w:rFonts w:ascii="仿宋_GB2312" w:eastAsia="仿宋_GB2312" w:hAnsi="仿宋" w:cs="Times New Roman"/>
          <w:bCs/>
          <w:color w:val="auto"/>
          <w:sz w:val="24"/>
          <w:szCs w:val="24"/>
        </w:rPr>
        <w:t>“</w:t>
      </w:r>
      <w:r w:rsidRPr="00606B0A">
        <w:rPr>
          <w:rStyle w:val="a5"/>
          <w:rFonts w:ascii="仿宋_GB2312" w:eastAsia="仿宋_GB2312" w:hAnsi="仿宋" w:cs="Times New Roman"/>
          <w:bCs/>
          <w:color w:val="auto"/>
          <w:sz w:val="24"/>
          <w:szCs w:val="24"/>
        </w:rPr>
        <w:t>短板</w:t>
      </w:r>
      <w:r w:rsidRPr="00606B0A">
        <w:rPr>
          <w:rStyle w:val="a5"/>
          <w:rFonts w:ascii="仿宋_GB2312" w:eastAsia="仿宋_GB2312" w:hAnsi="仿宋" w:cs="Times New Roman"/>
          <w:bCs/>
          <w:color w:val="auto"/>
          <w:sz w:val="24"/>
          <w:szCs w:val="24"/>
        </w:rPr>
        <w:t>”</w:t>
      </w:r>
      <w:r w:rsidRPr="00606B0A">
        <w:rPr>
          <w:rStyle w:val="a5"/>
          <w:rFonts w:ascii="仿宋_GB2312" w:eastAsia="仿宋_GB2312" w:hAnsi="仿宋" w:cs="Times New Roman"/>
          <w:bCs/>
          <w:color w:val="auto"/>
          <w:sz w:val="24"/>
          <w:szCs w:val="24"/>
        </w:rPr>
        <w:t>。该省以</w:t>
      </w:r>
      <w:r w:rsidRPr="00606B0A">
        <w:rPr>
          <w:rStyle w:val="a5"/>
          <w:rFonts w:ascii="仿宋_GB2312" w:eastAsia="仿宋_GB2312" w:hAnsi="仿宋" w:cs="Times New Roman"/>
          <w:bCs/>
          <w:color w:val="auto"/>
          <w:sz w:val="24"/>
          <w:szCs w:val="24"/>
        </w:rPr>
        <w:t>“</w:t>
      </w:r>
      <w:r w:rsidRPr="00606B0A">
        <w:rPr>
          <w:rStyle w:val="a5"/>
          <w:rFonts w:ascii="仿宋_GB2312" w:eastAsia="仿宋_GB2312" w:hAnsi="仿宋" w:cs="Times New Roman"/>
          <w:bCs/>
          <w:color w:val="auto"/>
          <w:sz w:val="24"/>
          <w:szCs w:val="24"/>
        </w:rPr>
        <w:t>双一流</w:t>
      </w:r>
      <w:r w:rsidRPr="00606B0A">
        <w:rPr>
          <w:rStyle w:val="a5"/>
          <w:rFonts w:ascii="仿宋_GB2312" w:eastAsia="仿宋_GB2312" w:hAnsi="仿宋" w:cs="Times New Roman"/>
          <w:bCs/>
          <w:color w:val="auto"/>
          <w:sz w:val="24"/>
          <w:szCs w:val="24"/>
        </w:rPr>
        <w:t>”</w:t>
      </w:r>
      <w:r w:rsidRPr="00606B0A">
        <w:rPr>
          <w:rStyle w:val="a5"/>
          <w:rFonts w:ascii="仿宋_GB2312" w:eastAsia="仿宋_GB2312" w:hAnsi="仿宋" w:cs="Times New Roman"/>
          <w:bCs/>
          <w:color w:val="auto"/>
          <w:sz w:val="24"/>
          <w:szCs w:val="24"/>
        </w:rPr>
        <w:t>建设为目标，2015年启动实施重点高校建设计划，遴选首批5所重点建设高校，每年校均投入1亿元，连续支持6年；在重中之重学科、重点学科建设基础上，启动省一流学科建设工程，按学科实力、影响力和潜力，遴选98个A类一流学科和232个B类一流学科，五年投入17亿元予以重点支持。扩大应用型本科高校建设试点，开展独立学院规范验收工作。持续推进优势特色专业建设工程，不断提高专业与产业的契合度。</w:t>
      </w:r>
    </w:p>
    <w:p w:rsidR="00F417D7" w:rsidRPr="00606B0A" w:rsidRDefault="00F417D7" w:rsidP="00832F46">
      <w:pPr>
        <w:spacing w:line="360" w:lineRule="exact"/>
        <w:ind w:firstLineChars="200" w:firstLine="480"/>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bCs/>
          <w:color w:val="auto"/>
          <w:sz w:val="24"/>
          <w:szCs w:val="24"/>
        </w:rPr>
        <w:t>制定实施本科高校分类管理和分类评价制度，促进高校准确定位、争创特色、错位发展。强化教学中心地位，开展高校课堂教学创新三年行动计划，扩大学生转专业选择权，实施中青年教师助讲培养制度，从严学生学业全过程管理和服务，开展校（院）长教学年度述职，组织专家进行高校教学质量巡查诊断，推进创新创业教育，推动高校普遍建立创业学院，打出了一套强化高校教学工作的</w:t>
      </w:r>
      <w:r w:rsidRPr="00606B0A">
        <w:rPr>
          <w:rStyle w:val="a5"/>
          <w:rFonts w:ascii="仿宋_GB2312" w:eastAsia="仿宋_GB2312" w:hAnsi="仿宋" w:cs="Times New Roman"/>
          <w:bCs/>
          <w:color w:val="auto"/>
          <w:sz w:val="24"/>
          <w:szCs w:val="24"/>
        </w:rPr>
        <w:t>“</w:t>
      </w:r>
      <w:r w:rsidRPr="00606B0A">
        <w:rPr>
          <w:rStyle w:val="a5"/>
          <w:rFonts w:ascii="仿宋_GB2312" w:eastAsia="仿宋_GB2312" w:hAnsi="仿宋" w:cs="Times New Roman"/>
          <w:bCs/>
          <w:color w:val="auto"/>
          <w:sz w:val="24"/>
          <w:szCs w:val="24"/>
        </w:rPr>
        <w:t>组合拳</w:t>
      </w:r>
      <w:r w:rsidRPr="00606B0A">
        <w:rPr>
          <w:rStyle w:val="a5"/>
          <w:rFonts w:ascii="仿宋_GB2312" w:eastAsia="仿宋_GB2312" w:hAnsi="仿宋" w:cs="Times New Roman"/>
          <w:bCs/>
          <w:color w:val="auto"/>
          <w:sz w:val="24"/>
          <w:szCs w:val="24"/>
        </w:rPr>
        <w:t>”</w:t>
      </w:r>
      <w:r w:rsidRPr="00606B0A">
        <w:rPr>
          <w:rStyle w:val="a5"/>
          <w:rFonts w:ascii="仿宋_GB2312" w:eastAsia="仿宋_GB2312" w:hAnsi="仿宋" w:cs="Times New Roman"/>
          <w:bCs/>
          <w:color w:val="auto"/>
          <w:sz w:val="24"/>
          <w:szCs w:val="24"/>
        </w:rPr>
        <w:t>，引导高校进一步提高人才培养质量。全省高校毕业生初次就业率一直保持在95%以上，毕业一年后自主创业率逐年攀升，均位居前列。</w:t>
      </w:r>
    </w:p>
    <w:p w:rsidR="00F417D7" w:rsidRPr="00606B0A" w:rsidRDefault="00F417D7" w:rsidP="00832F46">
      <w:pPr>
        <w:spacing w:line="360" w:lineRule="exact"/>
        <w:ind w:firstLineChars="200" w:firstLine="480"/>
        <w:jc w:val="right"/>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Cs/>
          <w:color w:val="auto"/>
          <w:sz w:val="24"/>
          <w:szCs w:val="24"/>
        </w:rPr>
        <w:t>（来源：《中国教育报》）</w:t>
      </w:r>
    </w:p>
    <w:p w:rsidR="00353027" w:rsidRPr="00606B0A" w:rsidRDefault="00D35619" w:rsidP="00832F46">
      <w:pPr>
        <w:widowControl w:val="0"/>
        <w:tabs>
          <w:tab w:val="left" w:pos="7491"/>
        </w:tabs>
        <w:spacing w:beforeLines="50" w:before="190" w:afterLines="50" w:after="190" w:line="380" w:lineRule="exact"/>
        <w:outlineLvl w:val="0"/>
        <w:rPr>
          <w:rStyle w:val="a5"/>
          <w:rFonts w:ascii="仿宋_GB2312" w:eastAsia="仿宋_GB2312" w:hAnsi="仿宋" w:cs="Times New Roman"/>
          <w:bCs/>
          <w:color w:val="auto"/>
          <w:sz w:val="24"/>
          <w:szCs w:val="24"/>
        </w:rPr>
      </w:pPr>
      <w:r w:rsidRPr="00606B0A">
        <w:rPr>
          <w:rFonts w:ascii="黑体" w:eastAsia="黑体" w:hAnsi="黑体" w:hint="eastAsia"/>
          <w:color w:val="FF0000"/>
          <w:sz w:val="36"/>
          <w:szCs w:val="36"/>
        </w:rPr>
        <w:t>【</w:t>
      </w:r>
      <w:r w:rsidR="004D31F2" w:rsidRPr="00606B0A">
        <w:rPr>
          <w:rFonts w:ascii="黑体" w:eastAsia="黑体" w:hAnsi="黑体" w:hint="eastAsia"/>
          <w:color w:val="FF0000"/>
          <w:sz w:val="36"/>
          <w:szCs w:val="36"/>
        </w:rPr>
        <w:t>院</w:t>
      </w:r>
      <w:r w:rsidR="00C453B9" w:rsidRPr="00606B0A">
        <w:rPr>
          <w:rFonts w:ascii="黑体" w:eastAsia="黑体" w:hAnsi="黑体" w:hint="eastAsia"/>
          <w:color w:val="FF0000"/>
          <w:sz w:val="36"/>
          <w:szCs w:val="36"/>
        </w:rPr>
        <w:t>校探索】</w:t>
      </w:r>
    </w:p>
    <w:p w:rsidR="00462F0C" w:rsidRPr="00606B0A" w:rsidRDefault="00462F0C" w:rsidP="00832F46">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 武汉大学</w:t>
      </w:r>
      <w:r w:rsidR="00CB175B">
        <w:rPr>
          <w:rStyle w:val="a5"/>
          <w:rFonts w:ascii="仿宋_GB2312" w:eastAsia="仿宋_GB2312" w:hAnsi="仿宋" w:hint="eastAsia"/>
          <w:b/>
          <w:bCs/>
          <w:color w:val="auto"/>
          <w:sz w:val="24"/>
        </w:rPr>
        <w:t>：</w:t>
      </w:r>
      <w:r w:rsidRPr="00606B0A">
        <w:rPr>
          <w:rStyle w:val="a5"/>
          <w:rFonts w:ascii="仿宋_GB2312" w:eastAsia="仿宋_GB2312" w:hAnsi="仿宋" w:hint="eastAsia"/>
          <w:b/>
          <w:bCs/>
          <w:color w:val="auto"/>
          <w:sz w:val="24"/>
        </w:rPr>
        <w:t>多举措激励教师积极投入本科教学</w:t>
      </w:r>
    </w:p>
    <w:p w:rsidR="00462F0C" w:rsidRPr="00606B0A" w:rsidRDefault="00462F0C" w:rsidP="00832F46">
      <w:pPr>
        <w:spacing w:line="380" w:lineRule="exact"/>
        <w:ind w:firstLineChars="200" w:firstLine="482"/>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
          <w:bCs/>
          <w:color w:val="auto"/>
          <w:sz w:val="24"/>
          <w:szCs w:val="24"/>
        </w:rPr>
        <w:t>构建体系大力“奖”。</w:t>
      </w:r>
      <w:r w:rsidRPr="00606B0A">
        <w:rPr>
          <w:rStyle w:val="a5"/>
          <w:rFonts w:ascii="仿宋_GB2312" w:eastAsia="仿宋_GB2312" w:hAnsi="仿宋" w:cs="Times New Roman" w:hint="eastAsia"/>
          <w:bCs/>
          <w:color w:val="auto"/>
          <w:sz w:val="24"/>
          <w:szCs w:val="24"/>
        </w:rPr>
        <w:t>加强教学相关表彰，持续开展“教学名师奖”评选，奖励教学、科研工作突出教师，树立教师工作标杆。加大“杰出教学贡献校长奖”奖励力度，每年评选5名教师、1个教师团队，奖励本科教学一线做出突出贡献的教师。加大“教学成果奖”“优秀教学论文奖”奖励力度，激励教师精心研究培育教学成果。设立“本科优秀教学业绩奖”，奖励本科课堂教学和研究生基础课课堂教学一线工作业绩突出的优秀教师，每年评选人数近200人，每人奖励3万元。提高教学为主型教师的酬劳，特别是公共基础课教师的课酬标准，巩固公共基础课教学的基础性地位。</w:t>
      </w:r>
    </w:p>
    <w:p w:rsidR="00462F0C" w:rsidRPr="00606B0A" w:rsidRDefault="00462F0C" w:rsidP="00832F46">
      <w:pPr>
        <w:spacing w:line="380" w:lineRule="exact"/>
        <w:ind w:firstLineChars="200" w:firstLine="482"/>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
          <w:bCs/>
          <w:color w:val="auto"/>
          <w:sz w:val="24"/>
          <w:szCs w:val="24"/>
        </w:rPr>
        <w:t>完善机制科学“评”。</w:t>
      </w:r>
      <w:r w:rsidRPr="00606B0A">
        <w:rPr>
          <w:rStyle w:val="a5"/>
          <w:rFonts w:ascii="仿宋_GB2312" w:eastAsia="仿宋_GB2312" w:hAnsi="仿宋" w:cs="Times New Roman" w:hint="eastAsia"/>
          <w:bCs/>
          <w:color w:val="auto"/>
          <w:sz w:val="24"/>
          <w:szCs w:val="24"/>
        </w:rPr>
        <w:t>出台教师教学工作考核评价与绩效激励的实施意见，破格晋升教学业绩突出的教师。增设“351人才计划”教学岗位，支持教师潜心教学。组织学生开展多种形式的评教，完善网上评教系统，实时跟踪统计学生评教结果，对学生评教反映问题较多的教师进行听课检查和针对性帮扶。完善教师本科教学工作考核制度，针对不同年龄阶段、不同类型教师提出不同的考核要求，兼顾教学“质”和“量”，引导青年教师教学和科研均衡发展，鼓励年长教师和教授积极投入本科教学。</w:t>
      </w:r>
    </w:p>
    <w:p w:rsidR="00462F0C" w:rsidRPr="00606B0A" w:rsidRDefault="00462F0C" w:rsidP="00832F46">
      <w:pPr>
        <w:spacing w:line="380" w:lineRule="exact"/>
        <w:ind w:firstLineChars="200" w:firstLine="482"/>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
          <w:bCs/>
          <w:color w:val="auto"/>
          <w:sz w:val="24"/>
          <w:szCs w:val="24"/>
        </w:rPr>
        <w:t>营造氛围着力“引”。</w:t>
      </w:r>
      <w:r w:rsidRPr="00606B0A">
        <w:rPr>
          <w:rStyle w:val="a5"/>
          <w:rFonts w:ascii="仿宋_GB2312" w:eastAsia="仿宋_GB2312" w:hAnsi="仿宋" w:cs="Times New Roman" w:hint="eastAsia"/>
          <w:bCs/>
          <w:color w:val="auto"/>
          <w:sz w:val="24"/>
          <w:szCs w:val="24"/>
        </w:rPr>
        <w:t xml:space="preserve">坚持“人才培养为本、本科教育是根”的办学理念，倡导本科教学是大学教师的使命，要求广大教师以教书育人为第一要务，加强本科教学使命意识宣传。出台一系列改革实施意见，明确63条改革举措和实施时间进度，不断推动本科教育教学改革。坚持教授为本科生授课制度，对未主讲本科课程的教授扣减相应学时费，督促教授为本科生授课。广泛宣传“杰出教学贡献校长奖”“本科优秀教学业绩奖”等先进教师事迹，以先进教师典型事迹鼓励更多教师投身本科教学，努力营造良好教学氛围。  </w:t>
      </w:r>
      <w:r w:rsidRPr="00606B0A">
        <w:rPr>
          <w:rStyle w:val="a5"/>
          <w:rFonts w:ascii="仿宋_GB2312" w:eastAsia="仿宋_GB2312" w:hAnsi="仿宋" w:cs="Times New Roman"/>
          <w:bCs/>
          <w:color w:val="auto"/>
          <w:sz w:val="24"/>
          <w:szCs w:val="24"/>
        </w:rPr>
        <w:t xml:space="preserve">     </w:t>
      </w:r>
      <w:r w:rsidRPr="00606B0A">
        <w:rPr>
          <w:rStyle w:val="a5"/>
          <w:rFonts w:ascii="仿宋_GB2312" w:eastAsia="仿宋_GB2312" w:hAnsi="仿宋" w:cs="Times New Roman" w:hint="eastAsia"/>
          <w:bCs/>
          <w:color w:val="auto"/>
          <w:sz w:val="24"/>
          <w:szCs w:val="24"/>
        </w:rPr>
        <w:t>（来源：武汉大学）</w:t>
      </w:r>
    </w:p>
    <w:p w:rsidR="00462F0C" w:rsidRPr="00606B0A" w:rsidRDefault="00462F0C" w:rsidP="00832F46">
      <w:pPr>
        <w:spacing w:line="380" w:lineRule="exact"/>
        <w:ind w:firstLineChars="200" w:firstLine="480"/>
        <w:rPr>
          <w:rStyle w:val="a5"/>
          <w:rFonts w:ascii="仿宋_GB2312" w:eastAsia="仿宋_GB2312" w:hAnsi="仿宋" w:cs="Times New Roman"/>
          <w:bCs/>
          <w:color w:val="auto"/>
          <w:sz w:val="24"/>
          <w:szCs w:val="24"/>
        </w:rPr>
      </w:pPr>
    </w:p>
    <w:p w:rsidR="00462F0C" w:rsidRPr="00606B0A" w:rsidRDefault="00462F0C" w:rsidP="00832F46">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 西南大学</w:t>
      </w:r>
      <w:r w:rsidR="00CB175B">
        <w:rPr>
          <w:rStyle w:val="a5"/>
          <w:rFonts w:ascii="仿宋_GB2312" w:eastAsia="仿宋_GB2312" w:hAnsi="仿宋" w:hint="eastAsia"/>
          <w:b/>
          <w:bCs/>
          <w:color w:val="auto"/>
          <w:sz w:val="24"/>
        </w:rPr>
        <w:t>：</w:t>
      </w:r>
      <w:r w:rsidRPr="00606B0A">
        <w:rPr>
          <w:rStyle w:val="a5"/>
          <w:rFonts w:ascii="仿宋_GB2312" w:eastAsia="仿宋_GB2312" w:hAnsi="仿宋" w:hint="eastAsia"/>
          <w:b/>
          <w:bCs/>
          <w:color w:val="auto"/>
          <w:sz w:val="24"/>
        </w:rPr>
        <w:t>多举措提高教师教学能力</w:t>
      </w:r>
    </w:p>
    <w:p w:rsidR="00E42C86" w:rsidRPr="00606B0A" w:rsidRDefault="00E42C86" w:rsidP="00832F46">
      <w:pPr>
        <w:spacing w:line="380" w:lineRule="exact"/>
        <w:ind w:firstLineChars="200" w:firstLine="482"/>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
          <w:bCs/>
          <w:color w:val="auto"/>
          <w:sz w:val="24"/>
          <w:szCs w:val="24"/>
        </w:rPr>
        <w:t>强化顶层设计，创新教师教学发展模式。</w:t>
      </w:r>
      <w:r w:rsidRPr="00606B0A">
        <w:rPr>
          <w:rStyle w:val="a5"/>
          <w:rFonts w:ascii="仿宋_GB2312" w:eastAsia="仿宋_GB2312" w:hAnsi="仿宋" w:cs="Times New Roman" w:hint="eastAsia"/>
          <w:bCs/>
          <w:color w:val="auto"/>
          <w:sz w:val="24"/>
          <w:szCs w:val="24"/>
        </w:rPr>
        <w:t>依托国家级教师教学发展示范中心，制定关于加强教师教学发展的实施意见等规章制度，强化教师选聘考核、入职培训、职称晋升等关键环节教学能力考核和刚性约束。设立教师教学发展专项经费，建强教师教学发展专业队伍，设计教师教学发展实践载体，构建学术引领、教改推进、实践结合、成果凝练、能力全面的“五位一体”教师教学发展模式。</w:t>
      </w:r>
    </w:p>
    <w:p w:rsidR="00E42C86" w:rsidRPr="00606B0A" w:rsidRDefault="00E42C86" w:rsidP="00832F46">
      <w:pPr>
        <w:spacing w:line="380" w:lineRule="exact"/>
        <w:ind w:firstLineChars="200" w:firstLine="482"/>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
          <w:bCs/>
          <w:color w:val="auto"/>
          <w:sz w:val="24"/>
          <w:szCs w:val="24"/>
        </w:rPr>
        <w:t>坚持研究引领，构建教师教学研究制度。</w:t>
      </w:r>
      <w:r w:rsidRPr="00606B0A">
        <w:rPr>
          <w:rStyle w:val="a5"/>
          <w:rFonts w:ascii="仿宋_GB2312" w:eastAsia="仿宋_GB2312" w:hAnsi="仿宋" w:cs="Times New Roman" w:hint="eastAsia"/>
          <w:bCs/>
          <w:color w:val="auto"/>
          <w:sz w:val="24"/>
          <w:szCs w:val="24"/>
        </w:rPr>
        <w:t>成立重庆市教师教育研究中心，设立教育教学研究专项经费，支持教师开展教育教学研究，引导教师以科研反哺教学。构建国家、市、学校三级教学研究团队，聚焦课程设计、教学设计、课程资源开发、学业评价、教育技术应用等内容，开展专题式、体系式、项目式研究，切实提高教师教学研究能力。</w:t>
      </w:r>
    </w:p>
    <w:p w:rsidR="00E42C86" w:rsidRPr="00606B0A" w:rsidRDefault="00E42C86" w:rsidP="00832F46">
      <w:pPr>
        <w:spacing w:line="380" w:lineRule="exact"/>
        <w:ind w:firstLineChars="200" w:firstLine="482"/>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
          <w:bCs/>
          <w:color w:val="auto"/>
          <w:sz w:val="24"/>
          <w:szCs w:val="24"/>
        </w:rPr>
        <w:t>强化专业培训，健全教师教学培训体系。</w:t>
      </w:r>
      <w:r w:rsidRPr="00606B0A">
        <w:rPr>
          <w:rStyle w:val="a5"/>
          <w:rFonts w:ascii="仿宋_GB2312" w:eastAsia="仿宋_GB2312" w:hAnsi="仿宋" w:cs="Times New Roman" w:hint="eastAsia"/>
          <w:bCs/>
          <w:color w:val="auto"/>
          <w:sz w:val="24"/>
          <w:szCs w:val="24"/>
        </w:rPr>
        <w:t>根据不同学科、不同年龄教师特点和需求，开展分级分类教学培训，构建综合培训（3项）与专项培训（X项）相结合“3+X”教师教学培训体系。综合培训涵盖教学能力基础培训、海外教学研修、骨干教师高级研修，专项培训涵盖教学理念、职业信念、教师形象、人文素养等教师个人素养以及教学环节关键步骤，促进教师全面发展与个性发展有机融合。</w:t>
      </w:r>
    </w:p>
    <w:p w:rsidR="00E42C86" w:rsidRPr="00606B0A" w:rsidRDefault="00E42C86" w:rsidP="00832F46">
      <w:pPr>
        <w:spacing w:line="380" w:lineRule="exact"/>
        <w:ind w:firstLineChars="200" w:firstLine="482"/>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
          <w:bCs/>
          <w:color w:val="auto"/>
          <w:sz w:val="24"/>
          <w:szCs w:val="24"/>
        </w:rPr>
        <w:t>整合教育资源，搭建教师教学交流机制。</w:t>
      </w:r>
      <w:r w:rsidRPr="00606B0A">
        <w:rPr>
          <w:rStyle w:val="a5"/>
          <w:rFonts w:ascii="仿宋_GB2312" w:eastAsia="仿宋_GB2312" w:hAnsi="仿宋" w:cs="Times New Roman" w:hint="eastAsia"/>
          <w:bCs/>
          <w:color w:val="auto"/>
          <w:sz w:val="24"/>
          <w:szCs w:val="24"/>
        </w:rPr>
        <w:t>搭建教学沙龙、教学比赛、课堂观摩“三位一体”的教师教学发展平台，定期组织教师围绕教学问题开展专题研讨。每年举办教学比赛，在职称晋升、教改立项、质量工程等方面对获奖者给予优先考虑。</w:t>
      </w:r>
    </w:p>
    <w:p w:rsidR="00462F0C" w:rsidRPr="00606B0A" w:rsidRDefault="00E42C86" w:rsidP="00832F46">
      <w:pPr>
        <w:spacing w:line="380" w:lineRule="exact"/>
        <w:ind w:firstLineChars="200" w:firstLine="482"/>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
          <w:bCs/>
          <w:color w:val="auto"/>
          <w:sz w:val="24"/>
          <w:szCs w:val="24"/>
        </w:rPr>
        <w:t>坚持以评促教，开发教师教学能力测评系统。</w:t>
      </w:r>
      <w:r w:rsidRPr="00606B0A">
        <w:rPr>
          <w:rStyle w:val="a5"/>
          <w:rFonts w:ascii="仿宋_GB2312" w:eastAsia="仿宋_GB2312" w:hAnsi="仿宋" w:cs="Times New Roman" w:hint="eastAsia"/>
          <w:bCs/>
          <w:color w:val="auto"/>
          <w:sz w:val="24"/>
          <w:szCs w:val="24"/>
        </w:rPr>
        <w:t xml:space="preserve">遵循教师教学发展规律，明确初任教师、熟练教师和优秀教师三级教师教学发展标准，完善教师自评、同行互评和专家综评三类评价机制。研发教师教学能力网络测评系统，建立教师教学能力发展档案，积极开展教师教学发展诊断评估、咨询服务、个性指导，促进教师教学理念和教学能力全面发展。  </w:t>
      </w:r>
      <w:r w:rsidRPr="00606B0A">
        <w:rPr>
          <w:rStyle w:val="a5"/>
          <w:rFonts w:ascii="仿宋_GB2312" w:eastAsia="仿宋_GB2312" w:hAnsi="仿宋" w:cs="Times New Roman"/>
          <w:bCs/>
          <w:color w:val="auto"/>
          <w:sz w:val="24"/>
          <w:szCs w:val="24"/>
        </w:rPr>
        <w:t xml:space="preserve">                   </w:t>
      </w:r>
      <w:r w:rsidRPr="00606B0A">
        <w:rPr>
          <w:rStyle w:val="a5"/>
          <w:rFonts w:ascii="仿宋_GB2312" w:eastAsia="仿宋_GB2312" w:hAnsi="仿宋" w:cs="Times New Roman" w:hint="eastAsia"/>
          <w:bCs/>
          <w:color w:val="auto"/>
          <w:sz w:val="24"/>
          <w:szCs w:val="24"/>
        </w:rPr>
        <w:t>（来源：西南大学）</w:t>
      </w:r>
    </w:p>
    <w:p w:rsidR="00462F0C" w:rsidRPr="00606B0A" w:rsidRDefault="00462F0C" w:rsidP="00832F46">
      <w:pPr>
        <w:spacing w:line="380" w:lineRule="exact"/>
        <w:ind w:firstLineChars="200" w:firstLine="480"/>
        <w:rPr>
          <w:rStyle w:val="a5"/>
          <w:rFonts w:ascii="仿宋_GB2312" w:eastAsia="仿宋_GB2312" w:hAnsi="仿宋" w:cs="Times New Roman"/>
          <w:bCs/>
          <w:color w:val="auto"/>
          <w:sz w:val="24"/>
          <w:szCs w:val="24"/>
        </w:rPr>
      </w:pPr>
    </w:p>
    <w:p w:rsidR="00462F0C" w:rsidRPr="00606B0A" w:rsidRDefault="00462F0C" w:rsidP="00832F46">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 上海财经大学</w:t>
      </w:r>
      <w:r w:rsidR="00CB175B">
        <w:rPr>
          <w:rStyle w:val="a5"/>
          <w:rFonts w:ascii="仿宋_GB2312" w:eastAsia="仿宋_GB2312" w:hAnsi="仿宋" w:hint="eastAsia"/>
          <w:b/>
          <w:bCs/>
          <w:color w:val="auto"/>
          <w:sz w:val="24"/>
        </w:rPr>
        <w:t>：</w:t>
      </w:r>
      <w:r w:rsidRPr="00606B0A">
        <w:rPr>
          <w:rStyle w:val="a5"/>
          <w:rFonts w:ascii="仿宋_GB2312" w:eastAsia="仿宋_GB2312" w:hAnsi="仿宋" w:hint="eastAsia"/>
          <w:b/>
          <w:bCs/>
          <w:color w:val="auto"/>
          <w:sz w:val="24"/>
        </w:rPr>
        <w:t>深化教师考核评价制度改革</w:t>
      </w:r>
    </w:p>
    <w:p w:rsidR="005A679C" w:rsidRPr="00606B0A" w:rsidRDefault="005A679C" w:rsidP="00832F46">
      <w:pPr>
        <w:spacing w:line="380" w:lineRule="exact"/>
        <w:ind w:firstLineChars="200" w:firstLine="482"/>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
          <w:bCs/>
          <w:color w:val="auto"/>
          <w:sz w:val="24"/>
          <w:szCs w:val="24"/>
        </w:rPr>
        <w:t>严格考核标准。</w:t>
      </w:r>
      <w:r w:rsidRPr="00606B0A">
        <w:rPr>
          <w:rStyle w:val="a5"/>
          <w:rFonts w:ascii="仿宋_GB2312" w:eastAsia="仿宋_GB2312" w:hAnsi="仿宋" w:cs="Times New Roman" w:hint="eastAsia"/>
          <w:bCs/>
          <w:color w:val="auto"/>
          <w:sz w:val="24"/>
          <w:szCs w:val="24"/>
        </w:rPr>
        <w:t>把思想政治素质作为教师选聘的基本要求，在岗位聘任、职务晋升、派出进修和评优奖励实行师德“一票否决制”。在岗位聘任、职务晋升中明确各类教师承担的教学工作量，规定教授、副教授承担本科生课程的教学课时要求。将教师担任班主任、辅导员，解答学生问题，指导学生就业、创新创业、社会实践、各类竞赛以及老中青教师“传帮带”等工作纳入考核范围。</w:t>
      </w:r>
    </w:p>
    <w:p w:rsidR="005A679C" w:rsidRPr="00606B0A" w:rsidRDefault="005A679C" w:rsidP="00832F46">
      <w:pPr>
        <w:spacing w:line="380" w:lineRule="exact"/>
        <w:ind w:firstLineChars="200" w:firstLine="482"/>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
          <w:bCs/>
          <w:color w:val="auto"/>
          <w:sz w:val="24"/>
          <w:szCs w:val="24"/>
        </w:rPr>
        <w:t>完善考评机制。</w:t>
      </w:r>
      <w:r w:rsidRPr="00606B0A">
        <w:rPr>
          <w:rStyle w:val="a5"/>
          <w:rFonts w:ascii="仿宋_GB2312" w:eastAsia="仿宋_GB2312" w:hAnsi="仿宋" w:cs="Times New Roman" w:hint="eastAsia"/>
          <w:bCs/>
          <w:color w:val="auto"/>
          <w:sz w:val="24"/>
          <w:szCs w:val="24"/>
        </w:rPr>
        <w:t>修订教师职务聘任和岗位聘用制度，印发和完善相关制度文件，鼓励教师从事高质量教学、科研与社会服务。在岗位聘用、职务聘任、考核评价中建立多元化考评指标体系，体现教书育人、科学研究、国际交流和社会服务等多种贡献，兼顾论文课题、决策咨询、荣誉奖励、著作教材、学生指导等多种成果，形成教学科研并重、科研为主和教学为主三类岗位分类聘任、分类考评的政策体系，给各类人才提供适合自身的发展平台和通道。</w:t>
      </w:r>
    </w:p>
    <w:p w:rsidR="00462F0C" w:rsidRPr="00606B0A" w:rsidRDefault="005A679C" w:rsidP="00832F46">
      <w:pPr>
        <w:spacing w:line="380" w:lineRule="exact"/>
        <w:ind w:firstLineChars="200" w:firstLine="482"/>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
          <w:bCs/>
          <w:color w:val="auto"/>
          <w:sz w:val="24"/>
          <w:szCs w:val="24"/>
        </w:rPr>
        <w:t>深化两级管理。</w:t>
      </w:r>
      <w:r w:rsidRPr="00606B0A">
        <w:rPr>
          <w:rStyle w:val="a5"/>
          <w:rFonts w:ascii="仿宋_GB2312" w:eastAsia="仿宋_GB2312" w:hAnsi="仿宋" w:cs="Times New Roman" w:hint="eastAsia"/>
          <w:bCs/>
          <w:color w:val="auto"/>
          <w:sz w:val="24"/>
          <w:szCs w:val="24"/>
        </w:rPr>
        <w:t xml:space="preserve">将职务晋升资格审查权、副高及以下职务聘任权下放，优化职务晋升程序，完善学院专业技术职务资格审查小组、学科组、学院专业技术职务评审委员会、学校专业技术职务评审委员会规程与职责，充分调动教授参与学校人事管理的积极性。探索下放正高职务晋升名额，发挥校院两级单位在人才梯队建设与培养中的主动性。  </w:t>
      </w:r>
      <w:r w:rsidRPr="00606B0A">
        <w:rPr>
          <w:rStyle w:val="a5"/>
          <w:rFonts w:ascii="仿宋_GB2312" w:eastAsia="仿宋_GB2312" w:hAnsi="仿宋" w:cs="Times New Roman"/>
          <w:bCs/>
          <w:color w:val="auto"/>
          <w:sz w:val="24"/>
          <w:szCs w:val="24"/>
        </w:rPr>
        <w:t xml:space="preserve">                   </w:t>
      </w:r>
      <w:r w:rsidRPr="00606B0A">
        <w:rPr>
          <w:rStyle w:val="a5"/>
          <w:rFonts w:ascii="仿宋_GB2312" w:eastAsia="仿宋_GB2312" w:hAnsi="仿宋" w:cs="Times New Roman" w:hint="eastAsia"/>
          <w:bCs/>
          <w:color w:val="auto"/>
          <w:sz w:val="24"/>
          <w:szCs w:val="24"/>
        </w:rPr>
        <w:t>（来源：上海财经大学）</w:t>
      </w:r>
    </w:p>
    <w:p w:rsidR="00722017" w:rsidRPr="00606B0A" w:rsidRDefault="00722017" w:rsidP="00832F46">
      <w:pPr>
        <w:spacing w:line="380" w:lineRule="exact"/>
        <w:ind w:firstLineChars="200" w:firstLine="480"/>
        <w:rPr>
          <w:rStyle w:val="a5"/>
          <w:rFonts w:ascii="仿宋_GB2312" w:eastAsia="仿宋_GB2312" w:hAnsi="仿宋" w:cs="Times New Roman"/>
          <w:bCs/>
          <w:color w:val="auto"/>
          <w:sz w:val="24"/>
          <w:szCs w:val="24"/>
        </w:rPr>
      </w:pPr>
    </w:p>
    <w:p w:rsidR="00722017" w:rsidRPr="00606B0A" w:rsidRDefault="00462F0C" w:rsidP="00832F46">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 xml:space="preserve">◆ </w:t>
      </w:r>
      <w:r w:rsidR="00722017" w:rsidRPr="00606B0A">
        <w:rPr>
          <w:rStyle w:val="a5"/>
          <w:rFonts w:ascii="仿宋_GB2312" w:eastAsia="仿宋_GB2312" w:hAnsi="仿宋" w:hint="eastAsia"/>
          <w:b/>
          <w:bCs/>
          <w:color w:val="auto"/>
          <w:sz w:val="24"/>
        </w:rPr>
        <w:t>河海大学</w:t>
      </w:r>
      <w:r w:rsidR="00CB175B">
        <w:rPr>
          <w:rStyle w:val="a5"/>
          <w:rFonts w:ascii="仿宋_GB2312" w:eastAsia="仿宋_GB2312" w:hAnsi="仿宋" w:hint="eastAsia"/>
          <w:b/>
          <w:bCs/>
          <w:color w:val="auto"/>
          <w:sz w:val="24"/>
        </w:rPr>
        <w:t>：</w:t>
      </w:r>
      <w:r w:rsidR="00722017" w:rsidRPr="00606B0A">
        <w:rPr>
          <w:rStyle w:val="a5"/>
          <w:rFonts w:ascii="仿宋_GB2312" w:eastAsia="仿宋_GB2312" w:hAnsi="仿宋" w:hint="eastAsia"/>
          <w:b/>
          <w:bCs/>
          <w:color w:val="auto"/>
          <w:sz w:val="24"/>
        </w:rPr>
        <w:t>创新人才培养模式</w:t>
      </w:r>
      <w:r w:rsidR="00CB175B">
        <w:rPr>
          <w:rStyle w:val="a5"/>
          <w:rFonts w:ascii="仿宋_GB2312" w:eastAsia="仿宋_GB2312" w:hAnsi="仿宋" w:hint="eastAsia"/>
          <w:b/>
          <w:bCs/>
          <w:color w:val="auto"/>
          <w:sz w:val="24"/>
        </w:rPr>
        <w:t>，</w:t>
      </w:r>
      <w:r w:rsidR="00722017" w:rsidRPr="00606B0A">
        <w:rPr>
          <w:rStyle w:val="a5"/>
          <w:rFonts w:ascii="仿宋_GB2312" w:eastAsia="仿宋_GB2312" w:hAnsi="仿宋" w:hint="eastAsia"/>
          <w:b/>
          <w:bCs/>
          <w:color w:val="auto"/>
          <w:sz w:val="24"/>
        </w:rPr>
        <w:t>服务“一带一路”</w:t>
      </w:r>
    </w:p>
    <w:p w:rsidR="00394C56" w:rsidRPr="00606B0A" w:rsidRDefault="00394C56" w:rsidP="00832F46">
      <w:pPr>
        <w:spacing w:line="380" w:lineRule="exact"/>
        <w:ind w:firstLineChars="200" w:firstLine="482"/>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
          <w:bCs/>
          <w:color w:val="auto"/>
          <w:sz w:val="24"/>
          <w:szCs w:val="24"/>
        </w:rPr>
        <w:t>拓展学校海外办学点，推动人才本土化培养。</w:t>
      </w:r>
      <w:r w:rsidRPr="00606B0A">
        <w:rPr>
          <w:rStyle w:val="a5"/>
          <w:rFonts w:ascii="仿宋_GB2312" w:eastAsia="仿宋_GB2312" w:hAnsi="仿宋" w:cs="Times New Roman" w:hint="eastAsia"/>
          <w:bCs/>
          <w:color w:val="auto"/>
          <w:sz w:val="24"/>
          <w:szCs w:val="24"/>
        </w:rPr>
        <w:t>立足当地经济社会发展需求，依托学校水利特色和学科优势，积极推进海外办学点建设，强化“一带一路”沿线国家水利水电人才本土化培养。在河海大学海外中心（老挝）的基础上，主动对接水利水电行业发展需求，通过提供师资力量、调整学科专业、强化培养交流等方式，努力提升服务水平。加快与柬埔寨等国“政产学研金文”多主体、多要素合作，通过论坛研讨、战略谋划、整合策划等多种形式，共同打造柬埔寨西港特区升级版。</w:t>
      </w:r>
    </w:p>
    <w:p w:rsidR="00394C56" w:rsidRPr="00606B0A" w:rsidRDefault="00394C56" w:rsidP="00832F46">
      <w:pPr>
        <w:spacing w:line="380" w:lineRule="exact"/>
        <w:ind w:firstLineChars="200" w:firstLine="482"/>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
          <w:bCs/>
          <w:color w:val="auto"/>
          <w:sz w:val="24"/>
          <w:szCs w:val="24"/>
        </w:rPr>
        <w:t>服务企业国际化战略，加强人才定制化培养。</w:t>
      </w:r>
      <w:r w:rsidRPr="00606B0A">
        <w:rPr>
          <w:rStyle w:val="a5"/>
          <w:rFonts w:ascii="仿宋_GB2312" w:eastAsia="仿宋_GB2312" w:hAnsi="仿宋" w:cs="Times New Roman" w:hint="eastAsia"/>
          <w:bCs/>
          <w:color w:val="auto"/>
          <w:sz w:val="24"/>
          <w:szCs w:val="24"/>
        </w:rPr>
        <w:t>助力中国水电“走出去”战略，培养既有工程技术、管理技能又有语言文化优势的复合型人才，为我国在“一带一路”沿线国家的海外工程企业提供人才支撑。与中国港湾、中国电建等大型企业开展人才定制化培养，接收58名留学生在校学习。在东南亚国家，建设海外工程企业专业硕士培养基地，联合培养国际高层次应用型人才。开展海外国际精英工商管理硕士教育，为“一带一路”沿线国家中资企业培养工商管理人才。</w:t>
      </w:r>
    </w:p>
    <w:p w:rsidR="00394C56" w:rsidRPr="00606B0A" w:rsidRDefault="00394C56" w:rsidP="00832F46">
      <w:pPr>
        <w:spacing w:line="380" w:lineRule="exact"/>
        <w:ind w:firstLineChars="200" w:firstLine="482"/>
        <w:rPr>
          <w:rStyle w:val="a5"/>
          <w:rFonts w:ascii="仿宋_GB2312" w:eastAsia="仿宋_GB2312" w:hAnsi="仿宋" w:cs="Times New Roman"/>
          <w:bCs/>
          <w:color w:val="auto"/>
          <w:sz w:val="24"/>
          <w:szCs w:val="24"/>
        </w:rPr>
      </w:pPr>
      <w:r w:rsidRPr="00606B0A">
        <w:rPr>
          <w:rStyle w:val="a5"/>
          <w:rFonts w:ascii="仿宋_GB2312" w:eastAsia="仿宋_GB2312" w:hAnsi="仿宋" w:cs="Times New Roman" w:hint="eastAsia"/>
          <w:b/>
          <w:bCs/>
          <w:color w:val="auto"/>
          <w:sz w:val="24"/>
          <w:szCs w:val="24"/>
        </w:rPr>
        <w:t>创新留学生培养方式，拓展国际化交流渠道。</w:t>
      </w:r>
      <w:r w:rsidRPr="00606B0A">
        <w:rPr>
          <w:rStyle w:val="a5"/>
          <w:rFonts w:ascii="仿宋_GB2312" w:eastAsia="仿宋_GB2312" w:hAnsi="仿宋" w:cs="Times New Roman" w:hint="eastAsia"/>
          <w:bCs/>
          <w:color w:val="auto"/>
          <w:sz w:val="24"/>
          <w:szCs w:val="24"/>
        </w:rPr>
        <w:t>采取“1+3”大类培养模式，开设全英文专业和课程，提升留学生培养规模和质量。学校留学生奖学金名额向“一带一路”沿线国家生源倾斜，积极与沿线国家高校合作，开展学分互认项目，并探索开展学生交流的新形式。</w:t>
      </w:r>
      <w:r w:rsidR="00F90B94" w:rsidRPr="00606B0A">
        <w:rPr>
          <w:rStyle w:val="a5"/>
          <w:rFonts w:ascii="仿宋_GB2312" w:eastAsia="仿宋_GB2312" w:hAnsi="仿宋" w:cs="Times New Roman" w:hint="eastAsia"/>
          <w:bCs/>
          <w:color w:val="auto"/>
          <w:sz w:val="24"/>
          <w:szCs w:val="24"/>
        </w:rPr>
        <w:t xml:space="preserve">  </w:t>
      </w:r>
      <w:r w:rsidR="00F90B94" w:rsidRPr="00606B0A">
        <w:rPr>
          <w:rStyle w:val="a5"/>
          <w:rFonts w:ascii="仿宋_GB2312" w:eastAsia="仿宋_GB2312" w:hAnsi="仿宋" w:cs="Times New Roman"/>
          <w:bCs/>
          <w:color w:val="auto"/>
          <w:sz w:val="24"/>
          <w:szCs w:val="24"/>
        </w:rPr>
        <w:t xml:space="preserve">                 </w:t>
      </w:r>
      <w:r w:rsidRPr="00606B0A">
        <w:rPr>
          <w:rStyle w:val="a5"/>
          <w:rFonts w:ascii="仿宋_GB2312" w:eastAsia="仿宋_GB2312" w:hAnsi="仿宋" w:cs="Times New Roman" w:hint="eastAsia"/>
          <w:bCs/>
          <w:color w:val="auto"/>
          <w:sz w:val="24"/>
          <w:szCs w:val="24"/>
        </w:rPr>
        <w:t>（来源：海河大学）</w:t>
      </w:r>
    </w:p>
    <w:p w:rsidR="00CB175B" w:rsidRDefault="00CB175B" w:rsidP="00832F46">
      <w:pPr>
        <w:spacing w:line="380" w:lineRule="exact"/>
        <w:rPr>
          <w:rFonts w:ascii="仿宋_GB2312" w:eastAsia="仿宋_GB2312" w:cs="Times New Roman"/>
          <w:b/>
        </w:rPr>
      </w:pPr>
    </w:p>
    <w:p w:rsidR="00195D41" w:rsidRPr="00606B0A" w:rsidRDefault="00195D41" w:rsidP="00CB175B">
      <w:pPr>
        <w:rPr>
          <w:rFonts w:eastAsia="宋体" w:cs="Times New Roman"/>
          <w:sz w:val="21"/>
          <w:szCs w:val="24"/>
        </w:rPr>
      </w:pPr>
      <w:r w:rsidRPr="00606B0A">
        <w:rPr>
          <w:rFonts w:ascii="仿宋_GB2312" w:eastAsia="仿宋_GB2312" w:cs="Times New Roman" w:hint="eastAsia"/>
          <w:b/>
        </w:rPr>
        <w:t>发送范围：</w:t>
      </w:r>
      <w:r w:rsidRPr="00606B0A">
        <w:rPr>
          <w:rFonts w:ascii="仿宋_GB2312" w:eastAsia="仿宋_GB2312" w:cs="Times New Roman" w:hint="eastAsia"/>
        </w:rPr>
        <w:t>校领导、学校各部门、各学院</w:t>
      </w:r>
    </w:p>
    <w:tbl>
      <w:tblPr>
        <w:tblpPr w:leftFromText="180" w:rightFromText="180" w:vertAnchor="text" w:horzAnchor="margin" w:tblpY="114"/>
        <w:tblW w:w="5050" w:type="pct"/>
        <w:tblBorders>
          <w:top w:val="single" w:sz="24" w:space="0" w:color="FF0000"/>
          <w:bottom w:val="single" w:sz="24" w:space="0" w:color="FF0000"/>
        </w:tblBorders>
        <w:tblLook w:val="0000" w:firstRow="0" w:lastRow="0" w:firstColumn="0" w:lastColumn="0" w:noHBand="0" w:noVBand="0"/>
      </w:tblPr>
      <w:tblGrid>
        <w:gridCol w:w="8607"/>
      </w:tblGrid>
      <w:tr w:rsidR="00195D41" w:rsidRPr="00C96BE5" w:rsidTr="00965620">
        <w:trPr>
          <w:trHeight w:val="1645"/>
        </w:trPr>
        <w:tc>
          <w:tcPr>
            <w:tcW w:w="9207" w:type="dxa"/>
            <w:vAlign w:val="center"/>
          </w:tcPr>
          <w:p w:rsidR="00195D41" w:rsidRPr="00606B0A" w:rsidRDefault="00195D41" w:rsidP="00965620">
            <w:pPr>
              <w:spacing w:line="440" w:lineRule="exact"/>
              <w:ind w:right="28" w:firstLineChars="50" w:firstLine="116"/>
              <w:rPr>
                <w:rFonts w:eastAsia="仿宋_GB2312" w:cs="Times New Roman"/>
                <w:spacing w:val="-4"/>
                <w:sz w:val="24"/>
                <w:szCs w:val="24"/>
              </w:rPr>
            </w:pPr>
            <w:r w:rsidRPr="00606B0A">
              <w:rPr>
                <w:rFonts w:eastAsia="仿宋_GB2312" w:cs="Times New Roman"/>
                <w:spacing w:val="-4"/>
                <w:sz w:val="24"/>
                <w:szCs w:val="24"/>
              </w:rPr>
              <w:t>地址：安徽省芜湖市九华南路</w:t>
            </w:r>
            <w:r w:rsidRPr="00606B0A">
              <w:rPr>
                <w:rFonts w:eastAsia="仿宋_GB2312" w:cs="Times New Roman"/>
                <w:spacing w:val="-4"/>
                <w:sz w:val="24"/>
                <w:szCs w:val="24"/>
              </w:rPr>
              <w:t>189</w:t>
            </w:r>
            <w:r w:rsidRPr="00606B0A">
              <w:rPr>
                <w:rFonts w:eastAsia="仿宋_GB2312" w:cs="Times New Roman"/>
                <w:spacing w:val="-4"/>
                <w:sz w:val="24"/>
                <w:szCs w:val="24"/>
              </w:rPr>
              <w:t>号安徽师范大学发展规划处</w:t>
            </w:r>
            <w:r w:rsidRPr="00606B0A">
              <w:rPr>
                <w:rFonts w:eastAsia="仿宋_GB2312" w:cs="Times New Roman"/>
                <w:spacing w:val="-4"/>
                <w:sz w:val="24"/>
                <w:szCs w:val="24"/>
              </w:rPr>
              <w:t>(</w:t>
            </w:r>
            <w:r w:rsidRPr="00606B0A">
              <w:rPr>
                <w:rFonts w:eastAsia="仿宋_GB2312" w:cs="Times New Roman"/>
                <w:spacing w:val="-4"/>
                <w:sz w:val="24"/>
                <w:szCs w:val="24"/>
              </w:rPr>
              <w:t>校友工作办公室</w:t>
            </w:r>
            <w:r w:rsidRPr="00606B0A">
              <w:rPr>
                <w:rFonts w:eastAsia="仿宋_GB2312" w:cs="Times New Roman"/>
                <w:spacing w:val="-4"/>
                <w:sz w:val="24"/>
                <w:szCs w:val="24"/>
              </w:rPr>
              <w:t>)</w:t>
            </w:r>
          </w:p>
          <w:p w:rsidR="00195D41" w:rsidRPr="00606B0A" w:rsidRDefault="00195D41" w:rsidP="00965620">
            <w:pPr>
              <w:spacing w:line="440" w:lineRule="exact"/>
              <w:ind w:right="28" w:firstLineChars="50" w:firstLine="120"/>
              <w:rPr>
                <w:rFonts w:eastAsia="仿宋_GB2312" w:cs="Times New Roman"/>
                <w:sz w:val="24"/>
                <w:szCs w:val="24"/>
              </w:rPr>
            </w:pPr>
            <w:r w:rsidRPr="00606B0A">
              <w:rPr>
                <w:rFonts w:eastAsia="仿宋_GB2312" w:cs="Times New Roman"/>
                <w:sz w:val="24"/>
                <w:szCs w:val="24"/>
              </w:rPr>
              <w:t>网址：</w:t>
            </w:r>
            <w:hyperlink r:id="rId9" w:history="1">
              <w:r w:rsidRPr="00606B0A">
                <w:rPr>
                  <w:rFonts w:eastAsia="仿宋_GB2312" w:cs="Times New Roman"/>
                  <w:color w:val="424242"/>
                  <w:sz w:val="24"/>
                  <w:szCs w:val="24"/>
                </w:rPr>
                <w:t>http://fgb.ahnu.edu.cn</w:t>
              </w:r>
            </w:hyperlink>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eastAsia="仿宋_GB2312" w:cs="Times New Roman"/>
                <w:sz w:val="24"/>
                <w:szCs w:val="24"/>
              </w:rPr>
              <w:t>邮编：</w:t>
            </w:r>
            <w:r w:rsidRPr="00606B0A">
              <w:rPr>
                <w:rFonts w:eastAsia="仿宋_GB2312" w:cs="Times New Roman"/>
                <w:sz w:val="24"/>
                <w:szCs w:val="24"/>
              </w:rPr>
              <w:t>241002</w:t>
            </w:r>
          </w:p>
          <w:p w:rsidR="00195D41" w:rsidRPr="00C96BE5" w:rsidRDefault="00195D41" w:rsidP="00911A47">
            <w:pPr>
              <w:spacing w:line="440" w:lineRule="exact"/>
              <w:ind w:right="28" w:firstLineChars="50" w:firstLine="120"/>
              <w:rPr>
                <w:rFonts w:ascii="Arial Unicode MS" w:eastAsia="Arial Unicode MS" w:hAnsi="Arial Unicode MS" w:cs="Arial Unicode MS"/>
                <w:sz w:val="24"/>
                <w:szCs w:val="24"/>
              </w:rPr>
            </w:pPr>
            <w:r w:rsidRPr="00606B0A">
              <w:rPr>
                <w:rFonts w:eastAsia="仿宋_GB2312" w:cs="Times New Roman" w:hint="eastAsia"/>
                <w:sz w:val="24"/>
                <w:szCs w:val="24"/>
              </w:rPr>
              <w:t>编辑</w:t>
            </w:r>
            <w:r w:rsidRPr="00606B0A">
              <w:rPr>
                <w:rFonts w:eastAsia="仿宋_GB2312" w:cs="Times New Roman"/>
                <w:sz w:val="24"/>
                <w:szCs w:val="24"/>
              </w:rPr>
              <w:t>：</w:t>
            </w:r>
            <w:r w:rsidRPr="00606B0A">
              <w:rPr>
                <w:rFonts w:eastAsia="仿宋_GB2312" w:cs="Times New Roman" w:hint="eastAsia"/>
                <w:sz w:val="24"/>
                <w:szCs w:val="24"/>
              </w:rPr>
              <w:t>陈刚锋</w:t>
            </w:r>
            <w:r w:rsidRPr="00606B0A">
              <w:rPr>
                <w:rFonts w:eastAsia="仿宋_GB2312" w:cs="Times New Roman" w:hint="eastAsia"/>
                <w:sz w:val="24"/>
                <w:szCs w:val="24"/>
              </w:rPr>
              <w:t xml:space="preserve">  </w:t>
            </w:r>
            <w:r w:rsidRPr="00606B0A">
              <w:rPr>
                <w:rFonts w:eastAsia="仿宋_GB2312" w:cs="Times New Roman" w:hint="eastAsia"/>
                <w:sz w:val="24"/>
                <w:szCs w:val="24"/>
              </w:rPr>
              <w:t>孙</w:t>
            </w:r>
            <w:r w:rsidRPr="00606B0A">
              <w:rPr>
                <w:rFonts w:eastAsia="仿宋_GB2312" w:cs="Times New Roman" w:hint="eastAsia"/>
                <w:sz w:val="24"/>
                <w:szCs w:val="24"/>
              </w:rPr>
              <w:t xml:space="preserve">  </w:t>
            </w:r>
            <w:r w:rsidRPr="00606B0A">
              <w:rPr>
                <w:rFonts w:eastAsia="仿宋_GB2312" w:cs="Times New Roman" w:hint="eastAsia"/>
                <w:sz w:val="24"/>
                <w:szCs w:val="24"/>
              </w:rPr>
              <w:t>彦</w:t>
            </w:r>
            <w:hyperlink r:id="rId10" w:history="1"/>
            <w:r w:rsidRPr="00606B0A">
              <w:rPr>
                <w:rFonts w:eastAsia="仿宋_GB2312" w:cs="Times New Roman"/>
                <w:sz w:val="24"/>
                <w:szCs w:val="24"/>
              </w:rPr>
              <w:t xml:space="preserve"> </w:t>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eastAsia="仿宋_GB2312" w:cs="Times New Roman"/>
                <w:sz w:val="24"/>
                <w:szCs w:val="24"/>
              </w:rPr>
              <w:t>电话：</w:t>
            </w:r>
            <w:r w:rsidRPr="00606B0A">
              <w:rPr>
                <w:rFonts w:eastAsia="仿宋_GB2312" w:cs="Times New Roman" w:hint="eastAsia"/>
                <w:sz w:val="24"/>
                <w:szCs w:val="24"/>
              </w:rPr>
              <w:t>0553-</w:t>
            </w:r>
            <w:r w:rsidRPr="00606B0A">
              <w:rPr>
                <w:rFonts w:eastAsia="仿宋_GB2312" w:cs="Times New Roman"/>
                <w:sz w:val="24"/>
                <w:szCs w:val="24"/>
              </w:rPr>
              <w:t>5910083</w:t>
            </w:r>
          </w:p>
        </w:tc>
      </w:tr>
    </w:tbl>
    <w:p w:rsidR="009D3CD8" w:rsidRDefault="009D3CD8" w:rsidP="00CB175B"/>
    <w:sectPr w:rsidR="009D3CD8" w:rsidSect="0061615E">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1C6" w:rsidRDefault="00B071C6" w:rsidP="00703E2C">
      <w:pPr>
        <w:spacing w:line="240" w:lineRule="auto"/>
      </w:pPr>
      <w:r>
        <w:separator/>
      </w:r>
    </w:p>
  </w:endnote>
  <w:endnote w:type="continuationSeparator" w:id="0">
    <w:p w:rsidR="00B071C6" w:rsidRDefault="00B071C6" w:rsidP="00703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1C6" w:rsidRDefault="00B071C6" w:rsidP="00703E2C">
      <w:pPr>
        <w:spacing w:line="240" w:lineRule="auto"/>
      </w:pPr>
      <w:r>
        <w:separator/>
      </w:r>
    </w:p>
  </w:footnote>
  <w:footnote w:type="continuationSeparator" w:id="0">
    <w:p w:rsidR="00B071C6" w:rsidRDefault="00B071C6" w:rsidP="00703E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739A"/>
    <w:multiLevelType w:val="hybridMultilevel"/>
    <w:tmpl w:val="42AE81B4"/>
    <w:lvl w:ilvl="0" w:tplc="4B708C0C">
      <w:start w:val="10"/>
      <w:numFmt w:val="bullet"/>
      <w:lvlText w:val="◆"/>
      <w:lvlJc w:val="left"/>
      <w:pPr>
        <w:ind w:left="842" w:hanging="360"/>
      </w:pPr>
      <w:rPr>
        <w:rFonts w:ascii="仿宋_GB2312" w:eastAsia="仿宋_GB2312" w:hAnsi="仿宋" w:cstheme="minorBidi" w:hint="eastAsia"/>
        <w:b/>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
    <w:nsid w:val="414532E3"/>
    <w:multiLevelType w:val="hybridMultilevel"/>
    <w:tmpl w:val="68667684"/>
    <w:lvl w:ilvl="0" w:tplc="AFB655F8">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1483758"/>
    <w:multiLevelType w:val="hybridMultilevel"/>
    <w:tmpl w:val="C05C03BA"/>
    <w:lvl w:ilvl="0" w:tplc="D842E910">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9DF18CA"/>
    <w:multiLevelType w:val="hybridMultilevel"/>
    <w:tmpl w:val="EBF84FF0"/>
    <w:lvl w:ilvl="0" w:tplc="6106BC80">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C3D109E"/>
    <w:multiLevelType w:val="hybridMultilevel"/>
    <w:tmpl w:val="FC12D8EE"/>
    <w:lvl w:ilvl="0" w:tplc="80F25548">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FAC33BF"/>
    <w:multiLevelType w:val="hybridMultilevel"/>
    <w:tmpl w:val="4DA2BE9E"/>
    <w:lvl w:ilvl="0" w:tplc="3508D16A">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HorizontalSpacing w:val="140"/>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07BB"/>
    <w:rsid w:val="0000048F"/>
    <w:rsid w:val="000141B7"/>
    <w:rsid w:val="00015585"/>
    <w:rsid w:val="00027E47"/>
    <w:rsid w:val="0003081A"/>
    <w:rsid w:val="00040670"/>
    <w:rsid w:val="00043277"/>
    <w:rsid w:val="000506CF"/>
    <w:rsid w:val="0005641B"/>
    <w:rsid w:val="0006260C"/>
    <w:rsid w:val="000706EC"/>
    <w:rsid w:val="000832FD"/>
    <w:rsid w:val="0009127A"/>
    <w:rsid w:val="000C25FD"/>
    <w:rsid w:val="000C4A8B"/>
    <w:rsid w:val="000C59FD"/>
    <w:rsid w:val="000D5BE3"/>
    <w:rsid w:val="000E44AF"/>
    <w:rsid w:val="000E52EA"/>
    <w:rsid w:val="00103FDA"/>
    <w:rsid w:val="0013208B"/>
    <w:rsid w:val="00137AA7"/>
    <w:rsid w:val="00137C44"/>
    <w:rsid w:val="0014543B"/>
    <w:rsid w:val="00157D7B"/>
    <w:rsid w:val="001858CC"/>
    <w:rsid w:val="00187F4E"/>
    <w:rsid w:val="00191634"/>
    <w:rsid w:val="00195D41"/>
    <w:rsid w:val="001A0794"/>
    <w:rsid w:val="001A3B39"/>
    <w:rsid w:val="001B2D58"/>
    <w:rsid w:val="001C1B68"/>
    <w:rsid w:val="001D6190"/>
    <w:rsid w:val="001F1C25"/>
    <w:rsid w:val="001F7CAA"/>
    <w:rsid w:val="00202ED1"/>
    <w:rsid w:val="002048D5"/>
    <w:rsid w:val="00207B3E"/>
    <w:rsid w:val="00207FC2"/>
    <w:rsid w:val="00216FC4"/>
    <w:rsid w:val="00217011"/>
    <w:rsid w:val="002175C8"/>
    <w:rsid w:val="00231303"/>
    <w:rsid w:val="002523F9"/>
    <w:rsid w:val="00274F18"/>
    <w:rsid w:val="002901DC"/>
    <w:rsid w:val="002A1DFF"/>
    <w:rsid w:val="002A20D0"/>
    <w:rsid w:val="002C6CF3"/>
    <w:rsid w:val="002D4918"/>
    <w:rsid w:val="002E43F0"/>
    <w:rsid w:val="002E4F33"/>
    <w:rsid w:val="002E4F67"/>
    <w:rsid w:val="002E51FA"/>
    <w:rsid w:val="002F012A"/>
    <w:rsid w:val="00327064"/>
    <w:rsid w:val="003359BA"/>
    <w:rsid w:val="0034540B"/>
    <w:rsid w:val="00353027"/>
    <w:rsid w:val="003651A9"/>
    <w:rsid w:val="00377BC9"/>
    <w:rsid w:val="0039165F"/>
    <w:rsid w:val="00394C56"/>
    <w:rsid w:val="003A246D"/>
    <w:rsid w:val="003B2401"/>
    <w:rsid w:val="003E66CC"/>
    <w:rsid w:val="004025ED"/>
    <w:rsid w:val="004107F1"/>
    <w:rsid w:val="00410C74"/>
    <w:rsid w:val="00410F8E"/>
    <w:rsid w:val="004501BA"/>
    <w:rsid w:val="0046026B"/>
    <w:rsid w:val="00462F0C"/>
    <w:rsid w:val="004830E5"/>
    <w:rsid w:val="00487B2A"/>
    <w:rsid w:val="004A0669"/>
    <w:rsid w:val="004A4C0E"/>
    <w:rsid w:val="004A7074"/>
    <w:rsid w:val="004B24C9"/>
    <w:rsid w:val="004B7662"/>
    <w:rsid w:val="004D167A"/>
    <w:rsid w:val="004D31F2"/>
    <w:rsid w:val="004D3B6B"/>
    <w:rsid w:val="00522377"/>
    <w:rsid w:val="0052794E"/>
    <w:rsid w:val="00541F32"/>
    <w:rsid w:val="00551ECB"/>
    <w:rsid w:val="005541F1"/>
    <w:rsid w:val="00561740"/>
    <w:rsid w:val="00562E5B"/>
    <w:rsid w:val="00593BC7"/>
    <w:rsid w:val="005A544C"/>
    <w:rsid w:val="005A679C"/>
    <w:rsid w:val="005C7742"/>
    <w:rsid w:val="005E7251"/>
    <w:rsid w:val="005F420B"/>
    <w:rsid w:val="005F50B5"/>
    <w:rsid w:val="005F541E"/>
    <w:rsid w:val="005F7B20"/>
    <w:rsid w:val="00601584"/>
    <w:rsid w:val="006065DA"/>
    <w:rsid w:val="006065E8"/>
    <w:rsid w:val="00606B0A"/>
    <w:rsid w:val="00610EAD"/>
    <w:rsid w:val="0061615E"/>
    <w:rsid w:val="00616C33"/>
    <w:rsid w:val="006237A6"/>
    <w:rsid w:val="00627231"/>
    <w:rsid w:val="00635B8C"/>
    <w:rsid w:val="0063652B"/>
    <w:rsid w:val="00637EFD"/>
    <w:rsid w:val="00657CB4"/>
    <w:rsid w:val="00660F3B"/>
    <w:rsid w:val="00665C61"/>
    <w:rsid w:val="00666C8F"/>
    <w:rsid w:val="00673C47"/>
    <w:rsid w:val="00677867"/>
    <w:rsid w:val="00682715"/>
    <w:rsid w:val="00683C3E"/>
    <w:rsid w:val="006A65CB"/>
    <w:rsid w:val="006A6AA3"/>
    <w:rsid w:val="006B58A3"/>
    <w:rsid w:val="006B7398"/>
    <w:rsid w:val="006D1102"/>
    <w:rsid w:val="006D2B3A"/>
    <w:rsid w:val="006E15B8"/>
    <w:rsid w:val="006F784C"/>
    <w:rsid w:val="00700941"/>
    <w:rsid w:val="00703E2C"/>
    <w:rsid w:val="00721432"/>
    <w:rsid w:val="00722017"/>
    <w:rsid w:val="00724318"/>
    <w:rsid w:val="00732017"/>
    <w:rsid w:val="00735CA2"/>
    <w:rsid w:val="00747C23"/>
    <w:rsid w:val="00750A95"/>
    <w:rsid w:val="007511A5"/>
    <w:rsid w:val="00761508"/>
    <w:rsid w:val="007616E3"/>
    <w:rsid w:val="007759E5"/>
    <w:rsid w:val="00782E62"/>
    <w:rsid w:val="007831B9"/>
    <w:rsid w:val="007A500E"/>
    <w:rsid w:val="007A6F7B"/>
    <w:rsid w:val="007C66A1"/>
    <w:rsid w:val="008022B6"/>
    <w:rsid w:val="0080300F"/>
    <w:rsid w:val="00817625"/>
    <w:rsid w:val="00817741"/>
    <w:rsid w:val="00826EDB"/>
    <w:rsid w:val="008300AB"/>
    <w:rsid w:val="00832F46"/>
    <w:rsid w:val="00841738"/>
    <w:rsid w:val="00851BA1"/>
    <w:rsid w:val="00852D73"/>
    <w:rsid w:val="00853C72"/>
    <w:rsid w:val="00856D96"/>
    <w:rsid w:val="008650F2"/>
    <w:rsid w:val="008828F4"/>
    <w:rsid w:val="00884C61"/>
    <w:rsid w:val="00890CBD"/>
    <w:rsid w:val="00895545"/>
    <w:rsid w:val="008961F7"/>
    <w:rsid w:val="008B0A26"/>
    <w:rsid w:val="008B20C6"/>
    <w:rsid w:val="008C1A03"/>
    <w:rsid w:val="008D3E8D"/>
    <w:rsid w:val="00904F03"/>
    <w:rsid w:val="00911A47"/>
    <w:rsid w:val="00917E56"/>
    <w:rsid w:val="009262FA"/>
    <w:rsid w:val="00926703"/>
    <w:rsid w:val="009407BB"/>
    <w:rsid w:val="0094618E"/>
    <w:rsid w:val="0094783C"/>
    <w:rsid w:val="009523DB"/>
    <w:rsid w:val="00953BC5"/>
    <w:rsid w:val="00966A36"/>
    <w:rsid w:val="009736F2"/>
    <w:rsid w:val="0097665E"/>
    <w:rsid w:val="009811E2"/>
    <w:rsid w:val="009827EA"/>
    <w:rsid w:val="00986E95"/>
    <w:rsid w:val="00993104"/>
    <w:rsid w:val="009A29C9"/>
    <w:rsid w:val="009B0626"/>
    <w:rsid w:val="009C372B"/>
    <w:rsid w:val="009D34D6"/>
    <w:rsid w:val="009D3CD8"/>
    <w:rsid w:val="009D4129"/>
    <w:rsid w:val="009F0461"/>
    <w:rsid w:val="00A00652"/>
    <w:rsid w:val="00A069D9"/>
    <w:rsid w:val="00A13159"/>
    <w:rsid w:val="00A23F51"/>
    <w:rsid w:val="00A245EA"/>
    <w:rsid w:val="00A25FF2"/>
    <w:rsid w:val="00A40865"/>
    <w:rsid w:val="00A45F50"/>
    <w:rsid w:val="00A46230"/>
    <w:rsid w:val="00A60210"/>
    <w:rsid w:val="00A62F1F"/>
    <w:rsid w:val="00A80384"/>
    <w:rsid w:val="00AB3C31"/>
    <w:rsid w:val="00AB7BB6"/>
    <w:rsid w:val="00AF23A9"/>
    <w:rsid w:val="00B0314D"/>
    <w:rsid w:val="00B071C6"/>
    <w:rsid w:val="00B24DC0"/>
    <w:rsid w:val="00B30014"/>
    <w:rsid w:val="00B34D6E"/>
    <w:rsid w:val="00B37046"/>
    <w:rsid w:val="00B4006E"/>
    <w:rsid w:val="00B44A7A"/>
    <w:rsid w:val="00B65788"/>
    <w:rsid w:val="00B6639D"/>
    <w:rsid w:val="00B85E17"/>
    <w:rsid w:val="00BB15CD"/>
    <w:rsid w:val="00BB56DA"/>
    <w:rsid w:val="00BB5BE0"/>
    <w:rsid w:val="00BB7F6F"/>
    <w:rsid w:val="00BC6223"/>
    <w:rsid w:val="00BC69E7"/>
    <w:rsid w:val="00BF42AA"/>
    <w:rsid w:val="00C11A95"/>
    <w:rsid w:val="00C164C6"/>
    <w:rsid w:val="00C209F2"/>
    <w:rsid w:val="00C24D27"/>
    <w:rsid w:val="00C453B9"/>
    <w:rsid w:val="00C465B3"/>
    <w:rsid w:val="00C5029D"/>
    <w:rsid w:val="00C52041"/>
    <w:rsid w:val="00C55F7B"/>
    <w:rsid w:val="00C63AD8"/>
    <w:rsid w:val="00C67696"/>
    <w:rsid w:val="00C72B3F"/>
    <w:rsid w:val="00C72EDC"/>
    <w:rsid w:val="00C861A3"/>
    <w:rsid w:val="00C86FE2"/>
    <w:rsid w:val="00C95020"/>
    <w:rsid w:val="00CA35E1"/>
    <w:rsid w:val="00CA657A"/>
    <w:rsid w:val="00CB175B"/>
    <w:rsid w:val="00CB6AC0"/>
    <w:rsid w:val="00CE3286"/>
    <w:rsid w:val="00CF35B6"/>
    <w:rsid w:val="00D02C88"/>
    <w:rsid w:val="00D230CF"/>
    <w:rsid w:val="00D316A3"/>
    <w:rsid w:val="00D35619"/>
    <w:rsid w:val="00D415C3"/>
    <w:rsid w:val="00D43065"/>
    <w:rsid w:val="00D46635"/>
    <w:rsid w:val="00D57D6F"/>
    <w:rsid w:val="00D62810"/>
    <w:rsid w:val="00D70FB6"/>
    <w:rsid w:val="00D82ADD"/>
    <w:rsid w:val="00D86EFE"/>
    <w:rsid w:val="00D914D6"/>
    <w:rsid w:val="00D91737"/>
    <w:rsid w:val="00D95D60"/>
    <w:rsid w:val="00DB771E"/>
    <w:rsid w:val="00DC6E24"/>
    <w:rsid w:val="00DD1E8A"/>
    <w:rsid w:val="00DE559C"/>
    <w:rsid w:val="00E20E8D"/>
    <w:rsid w:val="00E42C86"/>
    <w:rsid w:val="00E439BF"/>
    <w:rsid w:val="00E44299"/>
    <w:rsid w:val="00E47765"/>
    <w:rsid w:val="00E50A3B"/>
    <w:rsid w:val="00E7276E"/>
    <w:rsid w:val="00E930BD"/>
    <w:rsid w:val="00EA0542"/>
    <w:rsid w:val="00EB0C92"/>
    <w:rsid w:val="00EB3F58"/>
    <w:rsid w:val="00EB6CC5"/>
    <w:rsid w:val="00ED427E"/>
    <w:rsid w:val="00EE18BD"/>
    <w:rsid w:val="00EE2135"/>
    <w:rsid w:val="00EE2DD5"/>
    <w:rsid w:val="00EE52B3"/>
    <w:rsid w:val="00EF0F0E"/>
    <w:rsid w:val="00EF530D"/>
    <w:rsid w:val="00F02855"/>
    <w:rsid w:val="00F05080"/>
    <w:rsid w:val="00F161CB"/>
    <w:rsid w:val="00F16380"/>
    <w:rsid w:val="00F21D8B"/>
    <w:rsid w:val="00F24664"/>
    <w:rsid w:val="00F417D7"/>
    <w:rsid w:val="00F47782"/>
    <w:rsid w:val="00F563F0"/>
    <w:rsid w:val="00F57397"/>
    <w:rsid w:val="00F62979"/>
    <w:rsid w:val="00F73E48"/>
    <w:rsid w:val="00F77903"/>
    <w:rsid w:val="00F90B94"/>
    <w:rsid w:val="00F94A4B"/>
    <w:rsid w:val="00FB1DCB"/>
    <w:rsid w:val="00FB4634"/>
    <w:rsid w:val="00FB5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F6748-A09F-436B-A230-3C1B800A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 w:hAnsi="Times New Roman" w:cstheme="minorBidi"/>
        <w:kern w:val="2"/>
        <w:sz w:val="28"/>
        <w:szCs w:val="22"/>
        <w:lang w:val="en-US" w:eastAsia="zh-CN" w:bidi="ar-SA"/>
      </w:rPr>
    </w:rPrDefault>
    <w:pPrDefault>
      <w:pPr>
        <w:spacing w:line="5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6A3"/>
  </w:style>
  <w:style w:type="paragraph" w:styleId="1">
    <w:name w:val="heading 1"/>
    <w:basedOn w:val="a"/>
    <w:link w:val="1Char"/>
    <w:uiPriority w:val="9"/>
    <w:qFormat/>
    <w:rsid w:val="0052794E"/>
    <w:pPr>
      <w:spacing w:before="100" w:beforeAutospacing="1" w:after="100" w:afterAutospacing="1" w:line="240" w:lineRule="auto"/>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904F03"/>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F7B20"/>
    <w:pPr>
      <w:keepNext/>
      <w:keepLines/>
      <w:spacing w:before="260" w:after="260" w:line="416" w:lineRule="atLeast"/>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E2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703E2C"/>
    <w:rPr>
      <w:sz w:val="18"/>
      <w:szCs w:val="18"/>
    </w:rPr>
  </w:style>
  <w:style w:type="paragraph" w:styleId="a4">
    <w:name w:val="footer"/>
    <w:basedOn w:val="a"/>
    <w:link w:val="Char0"/>
    <w:uiPriority w:val="99"/>
    <w:unhideWhenUsed/>
    <w:rsid w:val="00703E2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703E2C"/>
    <w:rPr>
      <w:sz w:val="18"/>
      <w:szCs w:val="18"/>
    </w:rPr>
  </w:style>
  <w:style w:type="character" w:styleId="a5">
    <w:name w:val="Hyperlink"/>
    <w:uiPriority w:val="99"/>
    <w:rsid w:val="00CA657A"/>
    <w:rPr>
      <w:strike w:val="0"/>
      <w:dstrike w:val="0"/>
      <w:color w:val="424242"/>
      <w:u w:val="none"/>
      <w:effect w:val="none"/>
    </w:rPr>
  </w:style>
  <w:style w:type="paragraph" w:styleId="a6">
    <w:name w:val="Normal (Web)"/>
    <w:basedOn w:val="a"/>
    <w:uiPriority w:val="99"/>
    <w:unhideWhenUsed/>
    <w:rsid w:val="00551ECB"/>
    <w:pPr>
      <w:spacing w:before="100" w:beforeAutospacing="1" w:after="100" w:afterAutospacing="1" w:line="240" w:lineRule="auto"/>
      <w:jc w:val="left"/>
    </w:pPr>
    <w:rPr>
      <w:rFonts w:ascii="宋体" w:eastAsia="宋体" w:hAnsi="宋体" w:cs="宋体"/>
      <w:kern w:val="0"/>
      <w:sz w:val="24"/>
      <w:szCs w:val="24"/>
    </w:rPr>
  </w:style>
  <w:style w:type="character" w:styleId="a7">
    <w:name w:val="Strong"/>
    <w:basedOn w:val="a0"/>
    <w:uiPriority w:val="22"/>
    <w:qFormat/>
    <w:rsid w:val="00551ECB"/>
    <w:rPr>
      <w:b/>
      <w:bCs/>
    </w:rPr>
  </w:style>
  <w:style w:type="paragraph" w:styleId="a8">
    <w:name w:val="List Paragraph"/>
    <w:basedOn w:val="a"/>
    <w:uiPriority w:val="34"/>
    <w:qFormat/>
    <w:rsid w:val="002C6CF3"/>
    <w:pPr>
      <w:ind w:firstLineChars="200" w:firstLine="420"/>
    </w:pPr>
  </w:style>
  <w:style w:type="paragraph" w:customStyle="1" w:styleId="p0">
    <w:name w:val="p0"/>
    <w:basedOn w:val="a"/>
    <w:rsid w:val="0000048F"/>
    <w:pPr>
      <w:spacing w:before="100" w:beforeAutospacing="1" w:after="100" w:afterAutospacing="1" w:line="240" w:lineRule="auto"/>
      <w:jc w:val="left"/>
    </w:pPr>
    <w:rPr>
      <w:rFonts w:ascii="宋体" w:eastAsia="宋体" w:hAnsi="宋体" w:cs="宋体"/>
      <w:kern w:val="0"/>
      <w:sz w:val="24"/>
      <w:szCs w:val="24"/>
    </w:rPr>
  </w:style>
  <w:style w:type="paragraph" w:styleId="a9">
    <w:name w:val="Balloon Text"/>
    <w:basedOn w:val="a"/>
    <w:link w:val="Char1"/>
    <w:uiPriority w:val="99"/>
    <w:semiHidden/>
    <w:unhideWhenUsed/>
    <w:rsid w:val="00FB5147"/>
    <w:pPr>
      <w:spacing w:line="240" w:lineRule="auto"/>
    </w:pPr>
    <w:rPr>
      <w:sz w:val="18"/>
      <w:szCs w:val="18"/>
    </w:rPr>
  </w:style>
  <w:style w:type="character" w:customStyle="1" w:styleId="Char1">
    <w:name w:val="批注框文本 Char"/>
    <w:basedOn w:val="a0"/>
    <w:link w:val="a9"/>
    <w:uiPriority w:val="99"/>
    <w:semiHidden/>
    <w:rsid w:val="00FB5147"/>
    <w:rPr>
      <w:sz w:val="18"/>
      <w:szCs w:val="18"/>
    </w:rPr>
  </w:style>
  <w:style w:type="character" w:customStyle="1" w:styleId="1Char">
    <w:name w:val="标题 1 Char"/>
    <w:basedOn w:val="a0"/>
    <w:link w:val="1"/>
    <w:uiPriority w:val="9"/>
    <w:rsid w:val="0052794E"/>
    <w:rPr>
      <w:rFonts w:ascii="宋体" w:eastAsia="宋体" w:hAnsi="宋体" w:cs="宋体"/>
      <w:b/>
      <w:bCs/>
      <w:kern w:val="36"/>
      <w:sz w:val="48"/>
      <w:szCs w:val="48"/>
    </w:rPr>
  </w:style>
  <w:style w:type="character" w:customStyle="1" w:styleId="3Char">
    <w:name w:val="标题 3 Char"/>
    <w:basedOn w:val="a0"/>
    <w:link w:val="3"/>
    <w:uiPriority w:val="9"/>
    <w:semiHidden/>
    <w:rsid w:val="005F7B20"/>
    <w:rPr>
      <w:b/>
      <w:bCs/>
      <w:sz w:val="32"/>
      <w:szCs w:val="32"/>
    </w:rPr>
  </w:style>
  <w:style w:type="character" w:customStyle="1" w:styleId="2Char">
    <w:name w:val="标题 2 Char"/>
    <w:basedOn w:val="a0"/>
    <w:link w:val="2"/>
    <w:uiPriority w:val="9"/>
    <w:semiHidden/>
    <w:rsid w:val="00904F03"/>
    <w:rPr>
      <w:rFonts w:asciiTheme="majorHAnsi" w:eastAsiaTheme="majorEastAsia" w:hAnsiTheme="majorHAnsi" w:cstheme="majorBidi"/>
      <w:b/>
      <w:bCs/>
      <w:sz w:val="32"/>
      <w:szCs w:val="32"/>
    </w:rPr>
  </w:style>
  <w:style w:type="character" w:customStyle="1" w:styleId="apple-converted-space">
    <w:name w:val="apple-converted-space"/>
    <w:basedOn w:val="a0"/>
    <w:rsid w:val="00FB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1415">
      <w:bodyDiv w:val="1"/>
      <w:marLeft w:val="0"/>
      <w:marRight w:val="0"/>
      <w:marTop w:val="0"/>
      <w:marBottom w:val="0"/>
      <w:divBdr>
        <w:top w:val="none" w:sz="0" w:space="0" w:color="auto"/>
        <w:left w:val="none" w:sz="0" w:space="0" w:color="auto"/>
        <w:bottom w:val="none" w:sz="0" w:space="0" w:color="auto"/>
        <w:right w:val="none" w:sz="0" w:space="0" w:color="auto"/>
      </w:divBdr>
    </w:div>
    <w:div w:id="46537396">
      <w:bodyDiv w:val="1"/>
      <w:marLeft w:val="0"/>
      <w:marRight w:val="0"/>
      <w:marTop w:val="0"/>
      <w:marBottom w:val="0"/>
      <w:divBdr>
        <w:top w:val="none" w:sz="0" w:space="0" w:color="auto"/>
        <w:left w:val="none" w:sz="0" w:space="0" w:color="auto"/>
        <w:bottom w:val="none" w:sz="0" w:space="0" w:color="auto"/>
        <w:right w:val="none" w:sz="0" w:space="0" w:color="auto"/>
      </w:divBdr>
    </w:div>
    <w:div w:id="123354781">
      <w:bodyDiv w:val="1"/>
      <w:marLeft w:val="0"/>
      <w:marRight w:val="0"/>
      <w:marTop w:val="0"/>
      <w:marBottom w:val="0"/>
      <w:divBdr>
        <w:top w:val="none" w:sz="0" w:space="0" w:color="auto"/>
        <w:left w:val="none" w:sz="0" w:space="0" w:color="auto"/>
        <w:bottom w:val="none" w:sz="0" w:space="0" w:color="auto"/>
        <w:right w:val="none" w:sz="0" w:space="0" w:color="auto"/>
      </w:divBdr>
    </w:div>
    <w:div w:id="142435537">
      <w:bodyDiv w:val="1"/>
      <w:marLeft w:val="0"/>
      <w:marRight w:val="0"/>
      <w:marTop w:val="0"/>
      <w:marBottom w:val="0"/>
      <w:divBdr>
        <w:top w:val="none" w:sz="0" w:space="0" w:color="auto"/>
        <w:left w:val="none" w:sz="0" w:space="0" w:color="auto"/>
        <w:bottom w:val="none" w:sz="0" w:space="0" w:color="auto"/>
        <w:right w:val="none" w:sz="0" w:space="0" w:color="auto"/>
      </w:divBdr>
    </w:div>
    <w:div w:id="160967730">
      <w:bodyDiv w:val="1"/>
      <w:marLeft w:val="0"/>
      <w:marRight w:val="0"/>
      <w:marTop w:val="0"/>
      <w:marBottom w:val="0"/>
      <w:divBdr>
        <w:top w:val="none" w:sz="0" w:space="0" w:color="auto"/>
        <w:left w:val="none" w:sz="0" w:space="0" w:color="auto"/>
        <w:bottom w:val="none" w:sz="0" w:space="0" w:color="auto"/>
        <w:right w:val="none" w:sz="0" w:space="0" w:color="auto"/>
      </w:divBdr>
    </w:div>
    <w:div w:id="240795491">
      <w:bodyDiv w:val="1"/>
      <w:marLeft w:val="0"/>
      <w:marRight w:val="0"/>
      <w:marTop w:val="0"/>
      <w:marBottom w:val="0"/>
      <w:divBdr>
        <w:top w:val="none" w:sz="0" w:space="0" w:color="auto"/>
        <w:left w:val="none" w:sz="0" w:space="0" w:color="auto"/>
        <w:bottom w:val="none" w:sz="0" w:space="0" w:color="auto"/>
        <w:right w:val="none" w:sz="0" w:space="0" w:color="auto"/>
      </w:divBdr>
    </w:div>
    <w:div w:id="256906024">
      <w:bodyDiv w:val="1"/>
      <w:marLeft w:val="0"/>
      <w:marRight w:val="0"/>
      <w:marTop w:val="0"/>
      <w:marBottom w:val="0"/>
      <w:divBdr>
        <w:top w:val="none" w:sz="0" w:space="0" w:color="auto"/>
        <w:left w:val="none" w:sz="0" w:space="0" w:color="auto"/>
        <w:bottom w:val="none" w:sz="0" w:space="0" w:color="auto"/>
        <w:right w:val="none" w:sz="0" w:space="0" w:color="auto"/>
      </w:divBdr>
    </w:div>
    <w:div w:id="270937958">
      <w:bodyDiv w:val="1"/>
      <w:marLeft w:val="0"/>
      <w:marRight w:val="0"/>
      <w:marTop w:val="0"/>
      <w:marBottom w:val="0"/>
      <w:divBdr>
        <w:top w:val="none" w:sz="0" w:space="0" w:color="auto"/>
        <w:left w:val="none" w:sz="0" w:space="0" w:color="auto"/>
        <w:bottom w:val="none" w:sz="0" w:space="0" w:color="auto"/>
        <w:right w:val="none" w:sz="0" w:space="0" w:color="auto"/>
      </w:divBdr>
    </w:div>
    <w:div w:id="272445939">
      <w:bodyDiv w:val="1"/>
      <w:marLeft w:val="0"/>
      <w:marRight w:val="0"/>
      <w:marTop w:val="0"/>
      <w:marBottom w:val="0"/>
      <w:divBdr>
        <w:top w:val="none" w:sz="0" w:space="0" w:color="auto"/>
        <w:left w:val="none" w:sz="0" w:space="0" w:color="auto"/>
        <w:bottom w:val="none" w:sz="0" w:space="0" w:color="auto"/>
        <w:right w:val="none" w:sz="0" w:space="0" w:color="auto"/>
      </w:divBdr>
      <w:divsChild>
        <w:div w:id="352340000">
          <w:marLeft w:val="0"/>
          <w:marRight w:val="0"/>
          <w:marTop w:val="0"/>
          <w:marBottom w:val="0"/>
          <w:divBdr>
            <w:top w:val="none" w:sz="0" w:space="0" w:color="auto"/>
            <w:left w:val="none" w:sz="0" w:space="0" w:color="auto"/>
            <w:bottom w:val="none" w:sz="0" w:space="0" w:color="auto"/>
            <w:right w:val="none" w:sz="0" w:space="0" w:color="auto"/>
          </w:divBdr>
        </w:div>
      </w:divsChild>
    </w:div>
    <w:div w:id="299696255">
      <w:bodyDiv w:val="1"/>
      <w:marLeft w:val="0"/>
      <w:marRight w:val="0"/>
      <w:marTop w:val="0"/>
      <w:marBottom w:val="0"/>
      <w:divBdr>
        <w:top w:val="none" w:sz="0" w:space="0" w:color="auto"/>
        <w:left w:val="none" w:sz="0" w:space="0" w:color="auto"/>
        <w:bottom w:val="none" w:sz="0" w:space="0" w:color="auto"/>
        <w:right w:val="none" w:sz="0" w:space="0" w:color="auto"/>
      </w:divBdr>
    </w:div>
    <w:div w:id="358356620">
      <w:bodyDiv w:val="1"/>
      <w:marLeft w:val="0"/>
      <w:marRight w:val="0"/>
      <w:marTop w:val="0"/>
      <w:marBottom w:val="0"/>
      <w:divBdr>
        <w:top w:val="none" w:sz="0" w:space="0" w:color="auto"/>
        <w:left w:val="none" w:sz="0" w:space="0" w:color="auto"/>
        <w:bottom w:val="none" w:sz="0" w:space="0" w:color="auto"/>
        <w:right w:val="none" w:sz="0" w:space="0" w:color="auto"/>
      </w:divBdr>
    </w:div>
    <w:div w:id="392775100">
      <w:bodyDiv w:val="1"/>
      <w:marLeft w:val="0"/>
      <w:marRight w:val="0"/>
      <w:marTop w:val="0"/>
      <w:marBottom w:val="0"/>
      <w:divBdr>
        <w:top w:val="none" w:sz="0" w:space="0" w:color="auto"/>
        <w:left w:val="none" w:sz="0" w:space="0" w:color="auto"/>
        <w:bottom w:val="none" w:sz="0" w:space="0" w:color="auto"/>
        <w:right w:val="none" w:sz="0" w:space="0" w:color="auto"/>
      </w:divBdr>
    </w:div>
    <w:div w:id="422840361">
      <w:bodyDiv w:val="1"/>
      <w:marLeft w:val="0"/>
      <w:marRight w:val="0"/>
      <w:marTop w:val="0"/>
      <w:marBottom w:val="0"/>
      <w:divBdr>
        <w:top w:val="none" w:sz="0" w:space="0" w:color="auto"/>
        <w:left w:val="none" w:sz="0" w:space="0" w:color="auto"/>
        <w:bottom w:val="none" w:sz="0" w:space="0" w:color="auto"/>
        <w:right w:val="none" w:sz="0" w:space="0" w:color="auto"/>
      </w:divBdr>
    </w:div>
    <w:div w:id="448165707">
      <w:bodyDiv w:val="1"/>
      <w:marLeft w:val="0"/>
      <w:marRight w:val="0"/>
      <w:marTop w:val="0"/>
      <w:marBottom w:val="0"/>
      <w:divBdr>
        <w:top w:val="none" w:sz="0" w:space="0" w:color="auto"/>
        <w:left w:val="none" w:sz="0" w:space="0" w:color="auto"/>
        <w:bottom w:val="none" w:sz="0" w:space="0" w:color="auto"/>
        <w:right w:val="none" w:sz="0" w:space="0" w:color="auto"/>
      </w:divBdr>
    </w:div>
    <w:div w:id="490411676">
      <w:bodyDiv w:val="1"/>
      <w:marLeft w:val="0"/>
      <w:marRight w:val="0"/>
      <w:marTop w:val="0"/>
      <w:marBottom w:val="0"/>
      <w:divBdr>
        <w:top w:val="none" w:sz="0" w:space="0" w:color="auto"/>
        <w:left w:val="none" w:sz="0" w:space="0" w:color="auto"/>
        <w:bottom w:val="none" w:sz="0" w:space="0" w:color="auto"/>
        <w:right w:val="none" w:sz="0" w:space="0" w:color="auto"/>
      </w:divBdr>
    </w:div>
    <w:div w:id="556622062">
      <w:bodyDiv w:val="1"/>
      <w:marLeft w:val="0"/>
      <w:marRight w:val="0"/>
      <w:marTop w:val="0"/>
      <w:marBottom w:val="0"/>
      <w:divBdr>
        <w:top w:val="none" w:sz="0" w:space="0" w:color="auto"/>
        <w:left w:val="none" w:sz="0" w:space="0" w:color="auto"/>
        <w:bottom w:val="none" w:sz="0" w:space="0" w:color="auto"/>
        <w:right w:val="none" w:sz="0" w:space="0" w:color="auto"/>
      </w:divBdr>
    </w:div>
    <w:div w:id="557059057">
      <w:bodyDiv w:val="1"/>
      <w:marLeft w:val="0"/>
      <w:marRight w:val="0"/>
      <w:marTop w:val="0"/>
      <w:marBottom w:val="0"/>
      <w:divBdr>
        <w:top w:val="none" w:sz="0" w:space="0" w:color="auto"/>
        <w:left w:val="none" w:sz="0" w:space="0" w:color="auto"/>
        <w:bottom w:val="none" w:sz="0" w:space="0" w:color="auto"/>
        <w:right w:val="none" w:sz="0" w:space="0" w:color="auto"/>
      </w:divBdr>
    </w:div>
    <w:div w:id="572589903">
      <w:bodyDiv w:val="1"/>
      <w:marLeft w:val="0"/>
      <w:marRight w:val="0"/>
      <w:marTop w:val="0"/>
      <w:marBottom w:val="0"/>
      <w:divBdr>
        <w:top w:val="none" w:sz="0" w:space="0" w:color="auto"/>
        <w:left w:val="none" w:sz="0" w:space="0" w:color="auto"/>
        <w:bottom w:val="none" w:sz="0" w:space="0" w:color="auto"/>
        <w:right w:val="none" w:sz="0" w:space="0" w:color="auto"/>
      </w:divBdr>
    </w:div>
    <w:div w:id="645624127">
      <w:bodyDiv w:val="1"/>
      <w:marLeft w:val="0"/>
      <w:marRight w:val="0"/>
      <w:marTop w:val="0"/>
      <w:marBottom w:val="0"/>
      <w:divBdr>
        <w:top w:val="none" w:sz="0" w:space="0" w:color="auto"/>
        <w:left w:val="none" w:sz="0" w:space="0" w:color="auto"/>
        <w:bottom w:val="none" w:sz="0" w:space="0" w:color="auto"/>
        <w:right w:val="none" w:sz="0" w:space="0" w:color="auto"/>
      </w:divBdr>
    </w:div>
    <w:div w:id="671298544">
      <w:bodyDiv w:val="1"/>
      <w:marLeft w:val="0"/>
      <w:marRight w:val="0"/>
      <w:marTop w:val="0"/>
      <w:marBottom w:val="0"/>
      <w:divBdr>
        <w:top w:val="none" w:sz="0" w:space="0" w:color="auto"/>
        <w:left w:val="none" w:sz="0" w:space="0" w:color="auto"/>
        <w:bottom w:val="none" w:sz="0" w:space="0" w:color="auto"/>
        <w:right w:val="none" w:sz="0" w:space="0" w:color="auto"/>
      </w:divBdr>
    </w:div>
    <w:div w:id="671690371">
      <w:bodyDiv w:val="1"/>
      <w:marLeft w:val="0"/>
      <w:marRight w:val="0"/>
      <w:marTop w:val="0"/>
      <w:marBottom w:val="0"/>
      <w:divBdr>
        <w:top w:val="none" w:sz="0" w:space="0" w:color="auto"/>
        <w:left w:val="none" w:sz="0" w:space="0" w:color="auto"/>
        <w:bottom w:val="none" w:sz="0" w:space="0" w:color="auto"/>
        <w:right w:val="none" w:sz="0" w:space="0" w:color="auto"/>
      </w:divBdr>
    </w:div>
    <w:div w:id="702368683">
      <w:bodyDiv w:val="1"/>
      <w:marLeft w:val="0"/>
      <w:marRight w:val="0"/>
      <w:marTop w:val="0"/>
      <w:marBottom w:val="0"/>
      <w:divBdr>
        <w:top w:val="none" w:sz="0" w:space="0" w:color="auto"/>
        <w:left w:val="none" w:sz="0" w:space="0" w:color="auto"/>
        <w:bottom w:val="none" w:sz="0" w:space="0" w:color="auto"/>
        <w:right w:val="none" w:sz="0" w:space="0" w:color="auto"/>
      </w:divBdr>
    </w:div>
    <w:div w:id="702709018">
      <w:bodyDiv w:val="1"/>
      <w:marLeft w:val="0"/>
      <w:marRight w:val="0"/>
      <w:marTop w:val="0"/>
      <w:marBottom w:val="0"/>
      <w:divBdr>
        <w:top w:val="none" w:sz="0" w:space="0" w:color="auto"/>
        <w:left w:val="none" w:sz="0" w:space="0" w:color="auto"/>
        <w:bottom w:val="none" w:sz="0" w:space="0" w:color="auto"/>
        <w:right w:val="none" w:sz="0" w:space="0" w:color="auto"/>
      </w:divBdr>
    </w:div>
    <w:div w:id="732705501">
      <w:bodyDiv w:val="1"/>
      <w:marLeft w:val="0"/>
      <w:marRight w:val="0"/>
      <w:marTop w:val="0"/>
      <w:marBottom w:val="0"/>
      <w:divBdr>
        <w:top w:val="none" w:sz="0" w:space="0" w:color="auto"/>
        <w:left w:val="none" w:sz="0" w:space="0" w:color="auto"/>
        <w:bottom w:val="none" w:sz="0" w:space="0" w:color="auto"/>
        <w:right w:val="none" w:sz="0" w:space="0" w:color="auto"/>
      </w:divBdr>
    </w:div>
    <w:div w:id="734545155">
      <w:bodyDiv w:val="1"/>
      <w:marLeft w:val="0"/>
      <w:marRight w:val="0"/>
      <w:marTop w:val="0"/>
      <w:marBottom w:val="0"/>
      <w:divBdr>
        <w:top w:val="none" w:sz="0" w:space="0" w:color="auto"/>
        <w:left w:val="none" w:sz="0" w:space="0" w:color="auto"/>
        <w:bottom w:val="none" w:sz="0" w:space="0" w:color="auto"/>
        <w:right w:val="none" w:sz="0" w:space="0" w:color="auto"/>
      </w:divBdr>
    </w:div>
    <w:div w:id="774787115">
      <w:bodyDiv w:val="1"/>
      <w:marLeft w:val="0"/>
      <w:marRight w:val="0"/>
      <w:marTop w:val="0"/>
      <w:marBottom w:val="0"/>
      <w:divBdr>
        <w:top w:val="none" w:sz="0" w:space="0" w:color="auto"/>
        <w:left w:val="none" w:sz="0" w:space="0" w:color="auto"/>
        <w:bottom w:val="none" w:sz="0" w:space="0" w:color="auto"/>
        <w:right w:val="none" w:sz="0" w:space="0" w:color="auto"/>
      </w:divBdr>
    </w:div>
    <w:div w:id="810249870">
      <w:bodyDiv w:val="1"/>
      <w:marLeft w:val="0"/>
      <w:marRight w:val="0"/>
      <w:marTop w:val="0"/>
      <w:marBottom w:val="0"/>
      <w:divBdr>
        <w:top w:val="none" w:sz="0" w:space="0" w:color="auto"/>
        <w:left w:val="none" w:sz="0" w:space="0" w:color="auto"/>
        <w:bottom w:val="none" w:sz="0" w:space="0" w:color="auto"/>
        <w:right w:val="none" w:sz="0" w:space="0" w:color="auto"/>
      </w:divBdr>
    </w:div>
    <w:div w:id="867569815">
      <w:bodyDiv w:val="1"/>
      <w:marLeft w:val="0"/>
      <w:marRight w:val="0"/>
      <w:marTop w:val="0"/>
      <w:marBottom w:val="0"/>
      <w:divBdr>
        <w:top w:val="none" w:sz="0" w:space="0" w:color="auto"/>
        <w:left w:val="none" w:sz="0" w:space="0" w:color="auto"/>
        <w:bottom w:val="none" w:sz="0" w:space="0" w:color="auto"/>
        <w:right w:val="none" w:sz="0" w:space="0" w:color="auto"/>
      </w:divBdr>
    </w:div>
    <w:div w:id="887568533">
      <w:bodyDiv w:val="1"/>
      <w:marLeft w:val="0"/>
      <w:marRight w:val="0"/>
      <w:marTop w:val="0"/>
      <w:marBottom w:val="0"/>
      <w:divBdr>
        <w:top w:val="none" w:sz="0" w:space="0" w:color="auto"/>
        <w:left w:val="none" w:sz="0" w:space="0" w:color="auto"/>
        <w:bottom w:val="none" w:sz="0" w:space="0" w:color="auto"/>
        <w:right w:val="none" w:sz="0" w:space="0" w:color="auto"/>
      </w:divBdr>
    </w:div>
    <w:div w:id="892227999">
      <w:bodyDiv w:val="1"/>
      <w:marLeft w:val="0"/>
      <w:marRight w:val="0"/>
      <w:marTop w:val="0"/>
      <w:marBottom w:val="0"/>
      <w:divBdr>
        <w:top w:val="none" w:sz="0" w:space="0" w:color="auto"/>
        <w:left w:val="none" w:sz="0" w:space="0" w:color="auto"/>
        <w:bottom w:val="none" w:sz="0" w:space="0" w:color="auto"/>
        <w:right w:val="none" w:sz="0" w:space="0" w:color="auto"/>
      </w:divBdr>
    </w:div>
    <w:div w:id="977035165">
      <w:bodyDiv w:val="1"/>
      <w:marLeft w:val="0"/>
      <w:marRight w:val="0"/>
      <w:marTop w:val="0"/>
      <w:marBottom w:val="0"/>
      <w:divBdr>
        <w:top w:val="none" w:sz="0" w:space="0" w:color="auto"/>
        <w:left w:val="none" w:sz="0" w:space="0" w:color="auto"/>
        <w:bottom w:val="none" w:sz="0" w:space="0" w:color="auto"/>
        <w:right w:val="none" w:sz="0" w:space="0" w:color="auto"/>
      </w:divBdr>
    </w:div>
    <w:div w:id="1143740963">
      <w:bodyDiv w:val="1"/>
      <w:marLeft w:val="0"/>
      <w:marRight w:val="0"/>
      <w:marTop w:val="0"/>
      <w:marBottom w:val="0"/>
      <w:divBdr>
        <w:top w:val="none" w:sz="0" w:space="0" w:color="auto"/>
        <w:left w:val="none" w:sz="0" w:space="0" w:color="auto"/>
        <w:bottom w:val="none" w:sz="0" w:space="0" w:color="auto"/>
        <w:right w:val="none" w:sz="0" w:space="0" w:color="auto"/>
      </w:divBdr>
    </w:div>
    <w:div w:id="1170295006">
      <w:bodyDiv w:val="1"/>
      <w:marLeft w:val="0"/>
      <w:marRight w:val="0"/>
      <w:marTop w:val="0"/>
      <w:marBottom w:val="0"/>
      <w:divBdr>
        <w:top w:val="none" w:sz="0" w:space="0" w:color="auto"/>
        <w:left w:val="none" w:sz="0" w:space="0" w:color="auto"/>
        <w:bottom w:val="none" w:sz="0" w:space="0" w:color="auto"/>
        <w:right w:val="none" w:sz="0" w:space="0" w:color="auto"/>
      </w:divBdr>
    </w:div>
    <w:div w:id="1189026221">
      <w:bodyDiv w:val="1"/>
      <w:marLeft w:val="0"/>
      <w:marRight w:val="0"/>
      <w:marTop w:val="0"/>
      <w:marBottom w:val="0"/>
      <w:divBdr>
        <w:top w:val="none" w:sz="0" w:space="0" w:color="auto"/>
        <w:left w:val="none" w:sz="0" w:space="0" w:color="auto"/>
        <w:bottom w:val="none" w:sz="0" w:space="0" w:color="auto"/>
        <w:right w:val="none" w:sz="0" w:space="0" w:color="auto"/>
      </w:divBdr>
      <w:divsChild>
        <w:div w:id="1952862516">
          <w:marLeft w:val="0"/>
          <w:marRight w:val="0"/>
          <w:marTop w:val="525"/>
          <w:marBottom w:val="285"/>
          <w:divBdr>
            <w:top w:val="none" w:sz="0" w:space="0" w:color="auto"/>
            <w:left w:val="none" w:sz="0" w:space="0" w:color="auto"/>
            <w:bottom w:val="none" w:sz="0" w:space="0" w:color="auto"/>
            <w:right w:val="none" w:sz="0" w:space="0" w:color="auto"/>
          </w:divBdr>
        </w:div>
      </w:divsChild>
    </w:div>
    <w:div w:id="1240479496">
      <w:bodyDiv w:val="1"/>
      <w:marLeft w:val="0"/>
      <w:marRight w:val="0"/>
      <w:marTop w:val="0"/>
      <w:marBottom w:val="0"/>
      <w:divBdr>
        <w:top w:val="none" w:sz="0" w:space="0" w:color="auto"/>
        <w:left w:val="none" w:sz="0" w:space="0" w:color="auto"/>
        <w:bottom w:val="none" w:sz="0" w:space="0" w:color="auto"/>
        <w:right w:val="none" w:sz="0" w:space="0" w:color="auto"/>
      </w:divBdr>
    </w:div>
    <w:div w:id="1290010938">
      <w:bodyDiv w:val="1"/>
      <w:marLeft w:val="0"/>
      <w:marRight w:val="0"/>
      <w:marTop w:val="0"/>
      <w:marBottom w:val="0"/>
      <w:divBdr>
        <w:top w:val="none" w:sz="0" w:space="0" w:color="auto"/>
        <w:left w:val="none" w:sz="0" w:space="0" w:color="auto"/>
        <w:bottom w:val="none" w:sz="0" w:space="0" w:color="auto"/>
        <w:right w:val="none" w:sz="0" w:space="0" w:color="auto"/>
      </w:divBdr>
    </w:div>
    <w:div w:id="1320621738">
      <w:bodyDiv w:val="1"/>
      <w:marLeft w:val="0"/>
      <w:marRight w:val="0"/>
      <w:marTop w:val="0"/>
      <w:marBottom w:val="0"/>
      <w:divBdr>
        <w:top w:val="none" w:sz="0" w:space="0" w:color="auto"/>
        <w:left w:val="none" w:sz="0" w:space="0" w:color="auto"/>
        <w:bottom w:val="none" w:sz="0" w:space="0" w:color="auto"/>
        <w:right w:val="none" w:sz="0" w:space="0" w:color="auto"/>
      </w:divBdr>
    </w:div>
    <w:div w:id="1325427054">
      <w:bodyDiv w:val="1"/>
      <w:marLeft w:val="0"/>
      <w:marRight w:val="0"/>
      <w:marTop w:val="0"/>
      <w:marBottom w:val="0"/>
      <w:divBdr>
        <w:top w:val="none" w:sz="0" w:space="0" w:color="auto"/>
        <w:left w:val="none" w:sz="0" w:space="0" w:color="auto"/>
        <w:bottom w:val="none" w:sz="0" w:space="0" w:color="auto"/>
        <w:right w:val="none" w:sz="0" w:space="0" w:color="auto"/>
      </w:divBdr>
    </w:div>
    <w:div w:id="1371148258">
      <w:bodyDiv w:val="1"/>
      <w:marLeft w:val="0"/>
      <w:marRight w:val="0"/>
      <w:marTop w:val="0"/>
      <w:marBottom w:val="0"/>
      <w:divBdr>
        <w:top w:val="none" w:sz="0" w:space="0" w:color="auto"/>
        <w:left w:val="none" w:sz="0" w:space="0" w:color="auto"/>
        <w:bottom w:val="none" w:sz="0" w:space="0" w:color="auto"/>
        <w:right w:val="none" w:sz="0" w:space="0" w:color="auto"/>
      </w:divBdr>
    </w:div>
    <w:div w:id="1384988287">
      <w:bodyDiv w:val="1"/>
      <w:marLeft w:val="0"/>
      <w:marRight w:val="0"/>
      <w:marTop w:val="0"/>
      <w:marBottom w:val="0"/>
      <w:divBdr>
        <w:top w:val="none" w:sz="0" w:space="0" w:color="auto"/>
        <w:left w:val="none" w:sz="0" w:space="0" w:color="auto"/>
        <w:bottom w:val="none" w:sz="0" w:space="0" w:color="auto"/>
        <w:right w:val="none" w:sz="0" w:space="0" w:color="auto"/>
      </w:divBdr>
    </w:div>
    <w:div w:id="1405950778">
      <w:bodyDiv w:val="1"/>
      <w:marLeft w:val="0"/>
      <w:marRight w:val="0"/>
      <w:marTop w:val="0"/>
      <w:marBottom w:val="0"/>
      <w:divBdr>
        <w:top w:val="none" w:sz="0" w:space="0" w:color="auto"/>
        <w:left w:val="none" w:sz="0" w:space="0" w:color="auto"/>
        <w:bottom w:val="none" w:sz="0" w:space="0" w:color="auto"/>
        <w:right w:val="none" w:sz="0" w:space="0" w:color="auto"/>
      </w:divBdr>
    </w:div>
    <w:div w:id="1507136223">
      <w:bodyDiv w:val="1"/>
      <w:marLeft w:val="0"/>
      <w:marRight w:val="0"/>
      <w:marTop w:val="0"/>
      <w:marBottom w:val="0"/>
      <w:divBdr>
        <w:top w:val="none" w:sz="0" w:space="0" w:color="auto"/>
        <w:left w:val="none" w:sz="0" w:space="0" w:color="auto"/>
        <w:bottom w:val="none" w:sz="0" w:space="0" w:color="auto"/>
        <w:right w:val="none" w:sz="0" w:space="0" w:color="auto"/>
      </w:divBdr>
    </w:div>
    <w:div w:id="1536456638">
      <w:bodyDiv w:val="1"/>
      <w:marLeft w:val="0"/>
      <w:marRight w:val="0"/>
      <w:marTop w:val="0"/>
      <w:marBottom w:val="0"/>
      <w:divBdr>
        <w:top w:val="none" w:sz="0" w:space="0" w:color="auto"/>
        <w:left w:val="none" w:sz="0" w:space="0" w:color="auto"/>
        <w:bottom w:val="none" w:sz="0" w:space="0" w:color="auto"/>
        <w:right w:val="none" w:sz="0" w:space="0" w:color="auto"/>
      </w:divBdr>
      <w:divsChild>
        <w:div w:id="1469593409">
          <w:marLeft w:val="0"/>
          <w:marRight w:val="0"/>
          <w:marTop w:val="0"/>
          <w:marBottom w:val="0"/>
          <w:divBdr>
            <w:top w:val="none" w:sz="0" w:space="0" w:color="auto"/>
            <w:left w:val="none" w:sz="0" w:space="0" w:color="auto"/>
            <w:bottom w:val="none" w:sz="0" w:space="0" w:color="auto"/>
            <w:right w:val="none" w:sz="0" w:space="0" w:color="auto"/>
          </w:divBdr>
          <w:divsChild>
            <w:div w:id="1137916120">
              <w:marLeft w:val="0"/>
              <w:marRight w:val="0"/>
              <w:marTop w:val="0"/>
              <w:marBottom w:val="0"/>
              <w:divBdr>
                <w:top w:val="none" w:sz="0" w:space="0" w:color="auto"/>
                <w:left w:val="none" w:sz="0" w:space="0" w:color="auto"/>
                <w:bottom w:val="none" w:sz="0" w:space="0" w:color="auto"/>
                <w:right w:val="none" w:sz="0" w:space="0" w:color="auto"/>
              </w:divBdr>
              <w:divsChild>
                <w:div w:id="10143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02664">
      <w:bodyDiv w:val="1"/>
      <w:marLeft w:val="0"/>
      <w:marRight w:val="0"/>
      <w:marTop w:val="0"/>
      <w:marBottom w:val="0"/>
      <w:divBdr>
        <w:top w:val="none" w:sz="0" w:space="0" w:color="auto"/>
        <w:left w:val="none" w:sz="0" w:space="0" w:color="auto"/>
        <w:bottom w:val="none" w:sz="0" w:space="0" w:color="auto"/>
        <w:right w:val="none" w:sz="0" w:space="0" w:color="auto"/>
      </w:divBdr>
    </w:div>
    <w:div w:id="1582524307">
      <w:bodyDiv w:val="1"/>
      <w:marLeft w:val="0"/>
      <w:marRight w:val="0"/>
      <w:marTop w:val="0"/>
      <w:marBottom w:val="0"/>
      <w:divBdr>
        <w:top w:val="none" w:sz="0" w:space="0" w:color="auto"/>
        <w:left w:val="none" w:sz="0" w:space="0" w:color="auto"/>
        <w:bottom w:val="none" w:sz="0" w:space="0" w:color="auto"/>
        <w:right w:val="none" w:sz="0" w:space="0" w:color="auto"/>
      </w:divBdr>
    </w:div>
    <w:div w:id="1619607741">
      <w:bodyDiv w:val="1"/>
      <w:marLeft w:val="0"/>
      <w:marRight w:val="0"/>
      <w:marTop w:val="0"/>
      <w:marBottom w:val="0"/>
      <w:divBdr>
        <w:top w:val="none" w:sz="0" w:space="0" w:color="auto"/>
        <w:left w:val="none" w:sz="0" w:space="0" w:color="auto"/>
        <w:bottom w:val="none" w:sz="0" w:space="0" w:color="auto"/>
        <w:right w:val="none" w:sz="0" w:space="0" w:color="auto"/>
      </w:divBdr>
    </w:div>
    <w:div w:id="1649552552">
      <w:bodyDiv w:val="1"/>
      <w:marLeft w:val="0"/>
      <w:marRight w:val="0"/>
      <w:marTop w:val="0"/>
      <w:marBottom w:val="0"/>
      <w:divBdr>
        <w:top w:val="none" w:sz="0" w:space="0" w:color="auto"/>
        <w:left w:val="none" w:sz="0" w:space="0" w:color="auto"/>
        <w:bottom w:val="none" w:sz="0" w:space="0" w:color="auto"/>
        <w:right w:val="none" w:sz="0" w:space="0" w:color="auto"/>
      </w:divBdr>
    </w:div>
    <w:div w:id="1665470541">
      <w:bodyDiv w:val="1"/>
      <w:marLeft w:val="0"/>
      <w:marRight w:val="0"/>
      <w:marTop w:val="0"/>
      <w:marBottom w:val="0"/>
      <w:divBdr>
        <w:top w:val="none" w:sz="0" w:space="0" w:color="auto"/>
        <w:left w:val="none" w:sz="0" w:space="0" w:color="auto"/>
        <w:bottom w:val="none" w:sz="0" w:space="0" w:color="auto"/>
        <w:right w:val="none" w:sz="0" w:space="0" w:color="auto"/>
      </w:divBdr>
    </w:div>
    <w:div w:id="1727677179">
      <w:bodyDiv w:val="1"/>
      <w:marLeft w:val="0"/>
      <w:marRight w:val="0"/>
      <w:marTop w:val="0"/>
      <w:marBottom w:val="0"/>
      <w:divBdr>
        <w:top w:val="none" w:sz="0" w:space="0" w:color="auto"/>
        <w:left w:val="none" w:sz="0" w:space="0" w:color="auto"/>
        <w:bottom w:val="none" w:sz="0" w:space="0" w:color="auto"/>
        <w:right w:val="none" w:sz="0" w:space="0" w:color="auto"/>
      </w:divBdr>
    </w:div>
    <w:div w:id="1732189470">
      <w:bodyDiv w:val="1"/>
      <w:marLeft w:val="0"/>
      <w:marRight w:val="0"/>
      <w:marTop w:val="0"/>
      <w:marBottom w:val="0"/>
      <w:divBdr>
        <w:top w:val="none" w:sz="0" w:space="0" w:color="auto"/>
        <w:left w:val="none" w:sz="0" w:space="0" w:color="auto"/>
        <w:bottom w:val="none" w:sz="0" w:space="0" w:color="auto"/>
        <w:right w:val="none" w:sz="0" w:space="0" w:color="auto"/>
      </w:divBdr>
    </w:div>
    <w:div w:id="1738281979">
      <w:bodyDiv w:val="1"/>
      <w:marLeft w:val="0"/>
      <w:marRight w:val="0"/>
      <w:marTop w:val="0"/>
      <w:marBottom w:val="0"/>
      <w:divBdr>
        <w:top w:val="none" w:sz="0" w:space="0" w:color="auto"/>
        <w:left w:val="none" w:sz="0" w:space="0" w:color="auto"/>
        <w:bottom w:val="none" w:sz="0" w:space="0" w:color="auto"/>
        <w:right w:val="none" w:sz="0" w:space="0" w:color="auto"/>
      </w:divBdr>
    </w:div>
    <w:div w:id="1763257297">
      <w:bodyDiv w:val="1"/>
      <w:marLeft w:val="0"/>
      <w:marRight w:val="0"/>
      <w:marTop w:val="0"/>
      <w:marBottom w:val="0"/>
      <w:divBdr>
        <w:top w:val="none" w:sz="0" w:space="0" w:color="auto"/>
        <w:left w:val="none" w:sz="0" w:space="0" w:color="auto"/>
        <w:bottom w:val="none" w:sz="0" w:space="0" w:color="auto"/>
        <w:right w:val="none" w:sz="0" w:space="0" w:color="auto"/>
      </w:divBdr>
    </w:div>
    <w:div w:id="1764111371">
      <w:bodyDiv w:val="1"/>
      <w:marLeft w:val="0"/>
      <w:marRight w:val="0"/>
      <w:marTop w:val="0"/>
      <w:marBottom w:val="0"/>
      <w:divBdr>
        <w:top w:val="none" w:sz="0" w:space="0" w:color="auto"/>
        <w:left w:val="none" w:sz="0" w:space="0" w:color="auto"/>
        <w:bottom w:val="none" w:sz="0" w:space="0" w:color="auto"/>
        <w:right w:val="none" w:sz="0" w:space="0" w:color="auto"/>
      </w:divBdr>
    </w:div>
    <w:div w:id="1843081960">
      <w:bodyDiv w:val="1"/>
      <w:marLeft w:val="0"/>
      <w:marRight w:val="0"/>
      <w:marTop w:val="0"/>
      <w:marBottom w:val="0"/>
      <w:divBdr>
        <w:top w:val="none" w:sz="0" w:space="0" w:color="auto"/>
        <w:left w:val="none" w:sz="0" w:space="0" w:color="auto"/>
        <w:bottom w:val="none" w:sz="0" w:space="0" w:color="auto"/>
        <w:right w:val="none" w:sz="0" w:space="0" w:color="auto"/>
      </w:divBdr>
    </w:div>
    <w:div w:id="1850630849">
      <w:bodyDiv w:val="1"/>
      <w:marLeft w:val="0"/>
      <w:marRight w:val="0"/>
      <w:marTop w:val="0"/>
      <w:marBottom w:val="0"/>
      <w:divBdr>
        <w:top w:val="none" w:sz="0" w:space="0" w:color="auto"/>
        <w:left w:val="none" w:sz="0" w:space="0" w:color="auto"/>
        <w:bottom w:val="none" w:sz="0" w:space="0" w:color="auto"/>
        <w:right w:val="none" w:sz="0" w:space="0" w:color="auto"/>
      </w:divBdr>
    </w:div>
    <w:div w:id="1876498970">
      <w:bodyDiv w:val="1"/>
      <w:marLeft w:val="0"/>
      <w:marRight w:val="0"/>
      <w:marTop w:val="0"/>
      <w:marBottom w:val="0"/>
      <w:divBdr>
        <w:top w:val="none" w:sz="0" w:space="0" w:color="auto"/>
        <w:left w:val="none" w:sz="0" w:space="0" w:color="auto"/>
        <w:bottom w:val="none" w:sz="0" w:space="0" w:color="auto"/>
        <w:right w:val="none" w:sz="0" w:space="0" w:color="auto"/>
      </w:divBdr>
    </w:div>
    <w:div w:id="1885167271">
      <w:bodyDiv w:val="1"/>
      <w:marLeft w:val="0"/>
      <w:marRight w:val="0"/>
      <w:marTop w:val="0"/>
      <w:marBottom w:val="0"/>
      <w:divBdr>
        <w:top w:val="none" w:sz="0" w:space="0" w:color="auto"/>
        <w:left w:val="none" w:sz="0" w:space="0" w:color="auto"/>
        <w:bottom w:val="none" w:sz="0" w:space="0" w:color="auto"/>
        <w:right w:val="none" w:sz="0" w:space="0" w:color="auto"/>
      </w:divBdr>
    </w:div>
    <w:div w:id="1963416099">
      <w:bodyDiv w:val="1"/>
      <w:marLeft w:val="0"/>
      <w:marRight w:val="0"/>
      <w:marTop w:val="0"/>
      <w:marBottom w:val="0"/>
      <w:divBdr>
        <w:top w:val="none" w:sz="0" w:space="0" w:color="auto"/>
        <w:left w:val="none" w:sz="0" w:space="0" w:color="auto"/>
        <w:bottom w:val="none" w:sz="0" w:space="0" w:color="auto"/>
        <w:right w:val="none" w:sz="0" w:space="0" w:color="auto"/>
      </w:divBdr>
    </w:div>
    <w:div w:id="2004552845">
      <w:bodyDiv w:val="1"/>
      <w:marLeft w:val="0"/>
      <w:marRight w:val="0"/>
      <w:marTop w:val="0"/>
      <w:marBottom w:val="0"/>
      <w:divBdr>
        <w:top w:val="none" w:sz="0" w:space="0" w:color="auto"/>
        <w:left w:val="none" w:sz="0" w:space="0" w:color="auto"/>
        <w:bottom w:val="none" w:sz="0" w:space="0" w:color="auto"/>
        <w:right w:val="none" w:sz="0" w:space="0" w:color="auto"/>
      </w:divBdr>
    </w:div>
    <w:div w:id="2012220682">
      <w:bodyDiv w:val="1"/>
      <w:marLeft w:val="0"/>
      <w:marRight w:val="0"/>
      <w:marTop w:val="0"/>
      <w:marBottom w:val="0"/>
      <w:divBdr>
        <w:top w:val="none" w:sz="0" w:space="0" w:color="auto"/>
        <w:left w:val="none" w:sz="0" w:space="0" w:color="auto"/>
        <w:bottom w:val="none" w:sz="0" w:space="0" w:color="auto"/>
        <w:right w:val="none" w:sz="0" w:space="0" w:color="auto"/>
      </w:divBdr>
    </w:div>
    <w:div w:id="2065643287">
      <w:bodyDiv w:val="1"/>
      <w:marLeft w:val="0"/>
      <w:marRight w:val="0"/>
      <w:marTop w:val="0"/>
      <w:marBottom w:val="0"/>
      <w:divBdr>
        <w:top w:val="none" w:sz="0" w:space="0" w:color="auto"/>
        <w:left w:val="none" w:sz="0" w:space="0" w:color="auto"/>
        <w:bottom w:val="none" w:sz="0" w:space="0" w:color="auto"/>
        <w:right w:val="none" w:sz="0" w:space="0" w:color="auto"/>
      </w:divBdr>
    </w:div>
    <w:div w:id="2085225244">
      <w:bodyDiv w:val="1"/>
      <w:marLeft w:val="0"/>
      <w:marRight w:val="0"/>
      <w:marTop w:val="0"/>
      <w:marBottom w:val="0"/>
      <w:divBdr>
        <w:top w:val="none" w:sz="0" w:space="0" w:color="auto"/>
        <w:left w:val="none" w:sz="0" w:space="0" w:color="auto"/>
        <w:bottom w:val="none" w:sz="0" w:space="0" w:color="auto"/>
        <w:right w:val="none" w:sz="0" w:space="0" w:color="auto"/>
      </w:divBdr>
    </w:div>
    <w:div w:id="20857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gb.ahnu.edu.cn/" TargetMode="External"/><Relationship Id="rId4" Type="http://schemas.openxmlformats.org/officeDocument/2006/relationships/settings" Target="settings.xml"/><Relationship Id="rId9" Type="http://schemas.openxmlformats.org/officeDocument/2006/relationships/hyperlink" Target="http://fgb.ah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4515D-1FD8-4D35-8676-23DAAE7A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8</Pages>
  <Words>1300</Words>
  <Characters>7411</Characters>
  <Application>Microsoft Office Word</Application>
  <DocSecurity>0</DocSecurity>
  <Lines>61</Lines>
  <Paragraphs>17</Paragraphs>
  <ScaleCrop>false</ScaleCrop>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Sunian</cp:lastModifiedBy>
  <cp:revision>84</cp:revision>
  <dcterms:created xsi:type="dcterms:W3CDTF">2017-06-11T15:48:00Z</dcterms:created>
  <dcterms:modified xsi:type="dcterms:W3CDTF">2017-09-08T02:00:00Z</dcterms:modified>
</cp:coreProperties>
</file>